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55"/>
        <w:gridCol w:w="5871"/>
      </w:tblGrid>
      <w:tr w:rsidR="00FA1C6E" w:rsidRPr="00FA1C6E" w:rsidTr="00FA1C6E">
        <w:trPr>
          <w:jc w:val="center"/>
        </w:trPr>
        <w:tc>
          <w:tcPr>
            <w:tcW w:w="3240" w:type="dxa"/>
            <w:tcMar>
              <w:top w:w="0" w:type="dxa"/>
              <w:left w:w="108" w:type="dxa"/>
              <w:bottom w:w="0" w:type="dxa"/>
              <w:right w:w="108" w:type="dxa"/>
            </w:tcMar>
            <w:hideMark/>
          </w:tcPr>
          <w:p w:rsidR="00FA1C6E" w:rsidRPr="00FA1C6E" w:rsidRDefault="00FA1C6E" w:rsidP="00FA1C6E">
            <w:pPr>
              <w:spacing w:after="0" w:line="240" w:lineRule="auto"/>
              <w:jc w:val="center"/>
              <w:rPr>
                <w:rFonts w:eastAsia="Times New Roman" w:cs="Times New Roman"/>
                <w:b/>
                <w:bCs/>
                <w:szCs w:val="24"/>
                <w:lang w:eastAsia="vi-VN"/>
              </w:rPr>
            </w:pPr>
            <w:r w:rsidRPr="00FA1C6E">
              <w:rPr>
                <w:rFonts w:eastAsia="Times New Roman" w:cs="Times New Roman"/>
                <w:b/>
                <w:bCs/>
                <w:szCs w:val="24"/>
                <w:lang w:eastAsia="vi-VN"/>
              </w:rPr>
              <w:t>CHÍNH PHỦ</w:t>
            </w:r>
            <w:r w:rsidRPr="00FA1C6E">
              <w:rPr>
                <w:rFonts w:eastAsia="Times New Roman" w:cs="Times New Roman"/>
                <w:b/>
                <w:bCs/>
                <w:szCs w:val="24"/>
                <w:lang w:eastAsia="vi-VN"/>
              </w:rPr>
              <w:br/>
              <w:t>------------</w:t>
            </w:r>
          </w:p>
          <w:p w:rsidR="00FA1C6E" w:rsidRPr="00FA1C6E" w:rsidRDefault="00FA1C6E" w:rsidP="00FA1C6E">
            <w:pPr>
              <w:spacing w:after="0" w:line="240" w:lineRule="auto"/>
              <w:jc w:val="center"/>
              <w:rPr>
                <w:rFonts w:eastAsia="Times New Roman" w:cs="Times New Roman"/>
                <w:szCs w:val="24"/>
                <w:lang w:eastAsia="vi-VN"/>
              </w:rPr>
            </w:pPr>
            <w:r w:rsidRPr="00FA1C6E">
              <w:rPr>
                <w:rFonts w:eastAsia="Times New Roman" w:cs="Times New Roman"/>
                <w:szCs w:val="24"/>
                <w:lang w:eastAsia="vi-VN"/>
              </w:rPr>
              <w:t>Số: 95/2013/NĐ-CP</w:t>
            </w:r>
          </w:p>
        </w:tc>
        <w:tc>
          <w:tcPr>
            <w:tcW w:w="6120" w:type="dxa"/>
            <w:tcMar>
              <w:top w:w="0" w:type="dxa"/>
              <w:left w:w="108" w:type="dxa"/>
              <w:bottom w:w="0" w:type="dxa"/>
              <w:right w:w="108" w:type="dxa"/>
            </w:tcMar>
            <w:hideMark/>
          </w:tcPr>
          <w:p w:rsidR="00FA1C6E" w:rsidRPr="00FA1C6E" w:rsidRDefault="00FA1C6E" w:rsidP="00FA1C6E">
            <w:pPr>
              <w:spacing w:after="0" w:line="240" w:lineRule="auto"/>
              <w:jc w:val="center"/>
              <w:rPr>
                <w:rFonts w:eastAsia="Times New Roman" w:cs="Times New Roman"/>
                <w:b/>
                <w:bCs/>
                <w:szCs w:val="24"/>
                <w:lang w:eastAsia="vi-VN"/>
              </w:rPr>
            </w:pPr>
            <w:r w:rsidRPr="00FA1C6E">
              <w:rPr>
                <w:rFonts w:eastAsia="Times New Roman" w:cs="Times New Roman"/>
                <w:b/>
                <w:bCs/>
                <w:szCs w:val="24"/>
                <w:lang w:eastAsia="vi-VN"/>
              </w:rPr>
              <w:t>CỘNG HÒA XÃ HỘI CHỦ NGHĨA VIỆT NAM</w:t>
            </w:r>
            <w:r w:rsidRPr="00FA1C6E">
              <w:rPr>
                <w:rFonts w:eastAsia="Times New Roman" w:cs="Times New Roman"/>
                <w:b/>
                <w:bCs/>
                <w:szCs w:val="24"/>
                <w:lang w:eastAsia="vi-VN"/>
              </w:rPr>
              <w:br/>
              <w:t>Độc lập - Tự do - Hạnh phúc</w:t>
            </w:r>
            <w:r w:rsidRPr="00FA1C6E">
              <w:rPr>
                <w:rFonts w:eastAsia="Times New Roman" w:cs="Times New Roman"/>
                <w:b/>
                <w:bCs/>
                <w:szCs w:val="24"/>
                <w:lang w:eastAsia="vi-VN"/>
              </w:rPr>
              <w:br/>
              <w:t>------------------------------</w:t>
            </w:r>
          </w:p>
          <w:p w:rsidR="00FA1C6E" w:rsidRPr="00FA1C6E" w:rsidRDefault="00FA1C6E" w:rsidP="00FA1C6E">
            <w:pPr>
              <w:spacing w:after="0" w:line="240" w:lineRule="auto"/>
              <w:jc w:val="right"/>
              <w:rPr>
                <w:rFonts w:eastAsia="Times New Roman" w:cs="Times New Roman"/>
                <w:szCs w:val="24"/>
                <w:lang w:eastAsia="vi-VN"/>
              </w:rPr>
            </w:pPr>
            <w:r w:rsidRPr="00FA1C6E">
              <w:rPr>
                <w:rFonts w:eastAsia="Times New Roman" w:cs="Times New Roman"/>
                <w:i/>
                <w:iCs/>
                <w:szCs w:val="24"/>
                <w:lang w:eastAsia="vi-VN"/>
              </w:rPr>
              <w:t>Hà Nội, ngày 22 tháng 08 năm 2013</w:t>
            </w:r>
          </w:p>
        </w:tc>
      </w:tr>
    </w:tbl>
    <w:p w:rsidR="00FA1C6E" w:rsidRPr="00FA1C6E" w:rsidRDefault="00FA1C6E" w:rsidP="00FA1C6E">
      <w:pPr>
        <w:spacing w:after="0" w:line="240" w:lineRule="auto"/>
        <w:rPr>
          <w:rFonts w:eastAsia="Times New Roman" w:cs="Times New Roman"/>
          <w:szCs w:val="24"/>
          <w:lang w:eastAsia="vi-VN"/>
        </w:rPr>
      </w:pPr>
    </w:p>
    <w:p w:rsidR="00FA1C6E" w:rsidRPr="00FA1C6E" w:rsidRDefault="00FA1C6E" w:rsidP="00FA1C6E">
      <w:pPr>
        <w:spacing w:after="0" w:line="240" w:lineRule="auto"/>
        <w:rPr>
          <w:rFonts w:eastAsia="Times New Roman" w:cs="Times New Roman"/>
          <w:szCs w:val="24"/>
          <w:lang w:eastAsia="vi-VN"/>
        </w:rPr>
      </w:pPr>
      <w:r w:rsidRPr="00FA1C6E">
        <w:rPr>
          <w:rFonts w:eastAsia="Times New Roman" w:cs="Times New Roman"/>
          <w:szCs w:val="24"/>
          <w:lang w:eastAsia="vi-VN"/>
        </w:rPr>
        <w:t> </w:t>
      </w:r>
    </w:p>
    <w:p w:rsidR="00FA1C6E" w:rsidRPr="00FA1C6E" w:rsidRDefault="00FA1C6E" w:rsidP="00FA1C6E">
      <w:pPr>
        <w:spacing w:after="0" w:line="240" w:lineRule="auto"/>
        <w:jc w:val="center"/>
        <w:rPr>
          <w:rFonts w:eastAsia="Times New Roman" w:cs="Times New Roman"/>
          <w:szCs w:val="24"/>
          <w:lang w:eastAsia="vi-VN"/>
        </w:rPr>
      </w:pPr>
      <w:r w:rsidRPr="00FA1C6E">
        <w:rPr>
          <w:rFonts w:eastAsia="Times New Roman" w:cs="Times New Roman"/>
          <w:b/>
          <w:bCs/>
          <w:szCs w:val="24"/>
          <w:lang w:eastAsia="vi-VN"/>
        </w:rPr>
        <w:t>NGHỊ ĐỊNH</w:t>
      </w:r>
    </w:p>
    <w:p w:rsidR="00FA1C6E" w:rsidRPr="00FA1C6E" w:rsidRDefault="00FA1C6E" w:rsidP="00FA1C6E">
      <w:pPr>
        <w:spacing w:after="0" w:line="240" w:lineRule="auto"/>
        <w:jc w:val="center"/>
        <w:rPr>
          <w:rFonts w:eastAsia="Times New Roman" w:cs="Times New Roman"/>
          <w:b/>
          <w:szCs w:val="24"/>
          <w:lang w:eastAsia="vi-VN"/>
        </w:rPr>
      </w:pPr>
      <w:r w:rsidRPr="00FA1C6E">
        <w:rPr>
          <w:rFonts w:eastAsia="Times New Roman" w:cs="Times New Roman"/>
          <w:b/>
          <w:szCs w:val="24"/>
          <w:lang w:eastAsia="vi-VN"/>
        </w:rPr>
        <w:t xml:space="preserve">QUY ĐỊNH XỬ PHẠT VI PHẠM HÀNH CHÍNH </w:t>
      </w:r>
    </w:p>
    <w:p w:rsidR="00FA1C6E" w:rsidRPr="00FA1C6E" w:rsidRDefault="00FA1C6E" w:rsidP="00FA1C6E">
      <w:pPr>
        <w:spacing w:after="0" w:line="240" w:lineRule="auto"/>
        <w:jc w:val="center"/>
        <w:rPr>
          <w:rFonts w:eastAsia="Times New Roman" w:cs="Times New Roman"/>
          <w:b/>
          <w:szCs w:val="24"/>
          <w:lang w:eastAsia="vi-VN"/>
        </w:rPr>
      </w:pPr>
      <w:r w:rsidRPr="00FA1C6E">
        <w:rPr>
          <w:rFonts w:eastAsia="Times New Roman" w:cs="Times New Roman"/>
          <w:b/>
          <w:szCs w:val="24"/>
          <w:lang w:eastAsia="vi-VN"/>
        </w:rPr>
        <w:t xml:space="preserve">TRONG LĨNH VỰC LAO ĐỘNG, BẢO HIỂM XÃ HỘI VÀ ĐƯA NGƯỜI LAO ĐỘNG </w:t>
      </w:r>
    </w:p>
    <w:p w:rsidR="00FA1C6E" w:rsidRPr="00FA1C6E" w:rsidRDefault="00FA1C6E" w:rsidP="00FA1C6E">
      <w:pPr>
        <w:spacing w:after="0" w:line="240" w:lineRule="auto"/>
        <w:jc w:val="center"/>
        <w:rPr>
          <w:rFonts w:eastAsia="Times New Roman" w:cs="Times New Roman"/>
          <w:b/>
          <w:szCs w:val="24"/>
          <w:lang w:eastAsia="vi-VN"/>
        </w:rPr>
      </w:pPr>
      <w:r w:rsidRPr="00FA1C6E">
        <w:rPr>
          <w:rFonts w:eastAsia="Times New Roman" w:cs="Times New Roman"/>
          <w:b/>
          <w:szCs w:val="24"/>
          <w:lang w:eastAsia="vi-VN"/>
        </w:rPr>
        <w:t>VIỆT NAM ĐI LÀM VIỆC Ở NƯỚC NGOÀI THEO HỢP ĐỒNG</w:t>
      </w:r>
    </w:p>
    <w:p w:rsidR="00FA1C6E" w:rsidRPr="00FA1C6E" w:rsidRDefault="00FA1C6E" w:rsidP="00FA1C6E">
      <w:pPr>
        <w:spacing w:after="0" w:line="240" w:lineRule="auto"/>
        <w:jc w:val="center"/>
        <w:rPr>
          <w:rFonts w:eastAsia="Times New Roman" w:cs="Times New Roman"/>
          <w:b/>
          <w:szCs w:val="24"/>
          <w:lang w:eastAsia="vi-VN"/>
        </w:rPr>
      </w:pPr>
    </w:p>
    <w:p w:rsidR="00FA1C6E" w:rsidRPr="00FA1C6E" w:rsidRDefault="00FA1C6E" w:rsidP="00FA1C6E">
      <w:pPr>
        <w:spacing w:after="0" w:line="240" w:lineRule="auto"/>
        <w:jc w:val="center"/>
        <w:rPr>
          <w:rFonts w:eastAsia="Times New Roman" w:cs="Times New Roman"/>
          <w:b/>
          <w:szCs w:val="24"/>
          <w:lang w:eastAsia="vi-VN"/>
        </w:rPr>
      </w:pP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i/>
          <w:iCs/>
          <w:szCs w:val="24"/>
          <w:lang w:eastAsia="vi-VN"/>
        </w:rPr>
        <w:t>Căn cứ Luật tổ chức Chính phủ ngày 25 tháng 12 năm 2001;</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i/>
          <w:iCs/>
          <w:szCs w:val="24"/>
          <w:lang w:eastAsia="vi-VN"/>
        </w:rPr>
        <w:t>Căn cứ Luật xử lý vi phạm hành chính ngày 20 tháng 6 năm 2012;</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i/>
          <w:iCs/>
          <w:szCs w:val="24"/>
          <w:lang w:eastAsia="vi-VN"/>
        </w:rPr>
        <w:t>Căn cứ Bộ luật lao động ngày 18 tháng 6 năm 2012;</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i/>
          <w:iCs/>
          <w:szCs w:val="24"/>
          <w:lang w:eastAsia="vi-VN"/>
        </w:rPr>
        <w:t>Căn cứ Luật Bảo hiểm xã hội ngày 29 tháng 6 năm 2006;</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i/>
          <w:iCs/>
          <w:szCs w:val="24"/>
          <w:lang w:eastAsia="vi-VN"/>
        </w:rPr>
        <w:t>Căn cứ Luật người lao động Việt Nam đi làm việc ở nước ngoài theo hợp đồng ngày 29 tháng 11 năm 2006;</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i/>
          <w:iCs/>
          <w:szCs w:val="24"/>
          <w:lang w:eastAsia="vi-VN"/>
        </w:rPr>
        <w:t>Theo đề nghị của Bộ trưởng Bộ Lao động - Thương binh và Xã hội;</w:t>
      </w:r>
    </w:p>
    <w:p w:rsidR="00FA1C6E" w:rsidRPr="00FA1C6E" w:rsidRDefault="00FA1C6E" w:rsidP="00FA1C6E">
      <w:pPr>
        <w:spacing w:after="120" w:line="240" w:lineRule="auto"/>
        <w:ind w:firstLine="720"/>
        <w:jc w:val="both"/>
        <w:rPr>
          <w:rFonts w:eastAsia="Times New Roman" w:cs="Times New Roman"/>
          <w:i/>
          <w:iCs/>
          <w:szCs w:val="24"/>
          <w:lang w:eastAsia="vi-VN"/>
        </w:rPr>
      </w:pPr>
      <w:r w:rsidRPr="00FA1C6E">
        <w:rPr>
          <w:rFonts w:eastAsia="Times New Roman" w:cs="Times New Roman"/>
          <w:i/>
          <w:iCs/>
          <w:szCs w:val="24"/>
          <w:lang w:eastAsia="vi-VN"/>
        </w:rPr>
        <w:t>Chính phủ ban hành Nghị định quy định xử phạt vi phạm hành chính trong lĩnh vực lao động, bảo hiểm xã hội, đưa người lao động Việt Nam đi làm việc ở nước ngoài theo hợp đồng,</w:t>
      </w:r>
    </w:p>
    <w:p w:rsidR="00FA1C6E" w:rsidRPr="00FA1C6E" w:rsidRDefault="00FA1C6E" w:rsidP="00FA1C6E">
      <w:pPr>
        <w:spacing w:after="0" w:line="240" w:lineRule="auto"/>
        <w:rPr>
          <w:rFonts w:eastAsia="Times New Roman" w:cs="Times New Roman"/>
          <w:i/>
          <w:iCs/>
          <w:szCs w:val="24"/>
          <w:lang w:eastAsia="vi-VN"/>
        </w:rPr>
      </w:pPr>
    </w:p>
    <w:p w:rsidR="00FA1C6E" w:rsidRPr="00FA1C6E" w:rsidRDefault="00FA1C6E" w:rsidP="00FA1C6E">
      <w:pPr>
        <w:spacing w:after="0" w:line="240" w:lineRule="auto"/>
        <w:rPr>
          <w:rFonts w:eastAsia="Times New Roman" w:cs="Times New Roman"/>
          <w:szCs w:val="24"/>
          <w:lang w:eastAsia="vi-VN"/>
        </w:rPr>
      </w:pPr>
    </w:p>
    <w:p w:rsidR="00FA1C6E" w:rsidRPr="00FA1C6E" w:rsidRDefault="00FA1C6E" w:rsidP="00FA1C6E">
      <w:pPr>
        <w:spacing w:after="0" w:line="240" w:lineRule="auto"/>
        <w:jc w:val="center"/>
        <w:rPr>
          <w:rFonts w:eastAsia="Times New Roman" w:cs="Times New Roman"/>
          <w:szCs w:val="24"/>
          <w:lang w:eastAsia="vi-VN"/>
        </w:rPr>
      </w:pPr>
      <w:r w:rsidRPr="00FA1C6E">
        <w:rPr>
          <w:rFonts w:eastAsia="Times New Roman" w:cs="Times New Roman"/>
          <w:b/>
          <w:bCs/>
          <w:szCs w:val="24"/>
          <w:lang w:eastAsia="vi-VN"/>
        </w:rPr>
        <w:t>Chương 1.</w:t>
      </w:r>
    </w:p>
    <w:p w:rsidR="00FA1C6E" w:rsidRPr="00FA1C6E" w:rsidRDefault="00FA1C6E" w:rsidP="00FA1C6E">
      <w:pPr>
        <w:spacing w:after="0" w:line="240" w:lineRule="auto"/>
        <w:jc w:val="center"/>
        <w:rPr>
          <w:rFonts w:eastAsia="Times New Roman" w:cs="Times New Roman"/>
          <w:b/>
          <w:bCs/>
          <w:szCs w:val="24"/>
          <w:lang w:eastAsia="vi-VN"/>
        </w:rPr>
      </w:pPr>
      <w:r w:rsidRPr="00FA1C6E">
        <w:rPr>
          <w:rFonts w:eastAsia="Times New Roman" w:cs="Times New Roman"/>
          <w:b/>
          <w:bCs/>
          <w:szCs w:val="24"/>
          <w:lang w:eastAsia="vi-VN"/>
        </w:rPr>
        <w:t>QUY ĐỊNH CHUNG</w:t>
      </w:r>
    </w:p>
    <w:p w:rsidR="00FA1C6E" w:rsidRPr="00FA1C6E" w:rsidRDefault="00FA1C6E" w:rsidP="00FA1C6E">
      <w:pPr>
        <w:spacing w:after="0" w:line="240" w:lineRule="auto"/>
        <w:jc w:val="center"/>
        <w:rPr>
          <w:rFonts w:eastAsia="Times New Roman" w:cs="Times New Roman"/>
          <w:szCs w:val="24"/>
          <w:lang w:eastAsia="vi-VN"/>
        </w:rPr>
      </w:pP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1. Phạm vi điều chỉnh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Nghị định này quy định về hành vi vi phạm, hình thức xử phạt, mức xử phạt, biện pháp khắc phục hậu quả, thẩm quyền xử phạt, thủ tục xử phạt vi phạm hành chính trong lĩnh vực lao động, bảo hiểm xã hội và đưa người lao động Việt Nam đi làm việc ở nước ngoài theo hợp đồng.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2. Đối tượng áp dụng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Người sử dụng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Các cá nhân, tổ chức có hành vi vi phạm hành chính theo quy định tại Nghị định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3. Quy định về phạt tiền đối với vi phạm hành chính trong lĩnh vực lao động, bảo hiểm xã hội, đưa người lao động Việt Nam đi làm việc ở nước ngoài theo hợp đồng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Mức phạt tiền quy định đối với các hành vi vi phạm quy định tại Chương II, Chương III và Chương IV của Nghị định này là mức phạt đối với cá nhân, trừ trường hợp quy định tại Khoản 1 và Khoản 2 Điều 4, Khoản 2, Khoản 4 và Khoản 6 Điều 9, Khoản 6 và Khoản 7 Điều 17 và các điều từ Điều 29 đến Điều 34 Nghị định này. Mức phạt tiền đối với tổ chức bằng 02 lần mức phạt tiền đối với cá nhân.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lastRenderedPageBreak/>
        <w:t>2. Thẩm quyền xử phạt vi phạm hành chính quy định tại Chương VI của Nghị định này là thẩm quyền xử phạt đối với cá nhân. Trong trường hợp phạt tiền, thẩm quyền xử phạt đối với tổ chức bằng 02 lần thẩm quyền xử phạt đối với cá nhân.</w:t>
      </w:r>
    </w:p>
    <w:p w:rsidR="00FA1C6E" w:rsidRPr="00FA1C6E" w:rsidRDefault="00FA1C6E" w:rsidP="00FA1C6E">
      <w:pPr>
        <w:spacing w:after="120" w:line="240" w:lineRule="auto"/>
        <w:ind w:firstLine="720"/>
        <w:jc w:val="center"/>
        <w:rPr>
          <w:rFonts w:eastAsia="Times New Roman" w:cs="Times New Roman"/>
          <w:szCs w:val="24"/>
          <w:lang w:eastAsia="vi-VN"/>
        </w:rPr>
      </w:pPr>
    </w:p>
    <w:p w:rsidR="00FA1C6E" w:rsidRPr="00FA1C6E" w:rsidRDefault="00FA1C6E" w:rsidP="00FA1C6E">
      <w:pPr>
        <w:spacing w:after="0" w:line="240" w:lineRule="auto"/>
        <w:jc w:val="center"/>
        <w:rPr>
          <w:rFonts w:eastAsia="Times New Roman" w:cs="Times New Roman"/>
          <w:szCs w:val="24"/>
          <w:lang w:eastAsia="vi-VN"/>
        </w:rPr>
      </w:pPr>
      <w:r w:rsidRPr="00FA1C6E">
        <w:rPr>
          <w:rFonts w:eastAsia="Times New Roman" w:cs="Times New Roman"/>
          <w:b/>
          <w:bCs/>
          <w:szCs w:val="24"/>
          <w:lang w:eastAsia="vi-VN"/>
        </w:rPr>
        <w:t>Chương 2.</w:t>
      </w:r>
    </w:p>
    <w:p w:rsidR="00FA1C6E" w:rsidRPr="00FA1C6E" w:rsidRDefault="00FA1C6E" w:rsidP="00FA1C6E">
      <w:pPr>
        <w:spacing w:after="0" w:line="240" w:lineRule="auto"/>
        <w:jc w:val="center"/>
        <w:rPr>
          <w:rFonts w:eastAsia="Times New Roman" w:cs="Times New Roman"/>
          <w:b/>
          <w:bCs/>
          <w:szCs w:val="24"/>
          <w:lang w:eastAsia="vi-VN"/>
        </w:rPr>
      </w:pPr>
      <w:r w:rsidRPr="00FA1C6E">
        <w:rPr>
          <w:rFonts w:eastAsia="Times New Roman" w:cs="Times New Roman"/>
          <w:b/>
          <w:bCs/>
          <w:szCs w:val="24"/>
          <w:lang w:eastAsia="vi-VN"/>
        </w:rPr>
        <w:t xml:space="preserve">HÀNH VI VI PHẠM, HÌNH THỨC XỬ PHẠT VÀ BIỆN PHÁP KHẮC PHỤC HẬU QUẢ </w:t>
      </w:r>
    </w:p>
    <w:p w:rsidR="00FA1C6E" w:rsidRPr="00FA1C6E" w:rsidRDefault="00FA1C6E" w:rsidP="00FA1C6E">
      <w:pPr>
        <w:spacing w:after="0" w:line="240" w:lineRule="auto"/>
        <w:jc w:val="center"/>
        <w:rPr>
          <w:rFonts w:eastAsia="Times New Roman" w:cs="Times New Roman"/>
          <w:b/>
          <w:bCs/>
          <w:szCs w:val="24"/>
          <w:lang w:eastAsia="vi-VN"/>
        </w:rPr>
      </w:pPr>
      <w:r w:rsidRPr="00FA1C6E">
        <w:rPr>
          <w:rFonts w:eastAsia="Times New Roman" w:cs="Times New Roman"/>
          <w:b/>
          <w:bCs/>
          <w:szCs w:val="24"/>
          <w:lang w:eastAsia="vi-VN"/>
        </w:rPr>
        <w:t>ĐỐI VỚI HÀNH VI VI PHẠM TRONG LĨNH VỰC LAO ĐỘNG</w:t>
      </w:r>
    </w:p>
    <w:p w:rsidR="00FA1C6E" w:rsidRPr="00FA1C6E" w:rsidRDefault="00FA1C6E" w:rsidP="00FA1C6E">
      <w:pPr>
        <w:spacing w:after="0" w:line="240" w:lineRule="auto"/>
        <w:jc w:val="center"/>
        <w:rPr>
          <w:rFonts w:eastAsia="Times New Roman" w:cs="Times New Roman"/>
          <w:szCs w:val="24"/>
          <w:lang w:eastAsia="vi-VN"/>
        </w:rPr>
      </w:pP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4. Vi phạm quy định về dịch vụ việc làm</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tiền từ 1.000.000 đồng đến 3.000.000 đồng khi vi phạm với mỗi người lao động đối với tổ chức dịch vụ việc làm có hành vi thu phí dịch vụ việc làm vượt quá mức quy định theo một trong các mức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Phạt tiền từ 5.000.000 đồng đến 10.000.000 đồng đối với hành vi thông tin sai sự thật hoặc gây nhầm lẫn về vị trí việc làm;</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Phạt tiền từ 45.000.000 đồng đến 60.000.000 đồng đối với hành vi hoạt động dịch vụ việc làm mà không có giấy phép hoạt động dịch vụ việc làm do cơ quan có thẩm quyền cấp hoặc sử dụng Giấy phép hoạt động dịch vụ việc làm hết hạn.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Biện pháp khắc phục hậu quả:</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Buộc trả lại cho người lao động khoản phí dịch vụ việc làm đã thu của người lao động cao hơn mức quy định đối với hành vi vi phạm quy định tại Khoản 1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Buộc nộp lại phí dịch vụ việc làm đã thu của người lao động vào ngân sách nhà nước đối với vi phạm quy định tại Khoản 3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5. Vi phạm quy định về giao kết hợp đồng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tiền người sử dụng lao động khi có một trong các hành vi: Không giao kết hợp đồng lao động bằng văn bản đối với công việc cố định có thời hạn trên 3 tháng; không giao kết đúng loại hợp đồng lao động với người lao động theo quy định tại Điều 22 của Bộ luật lao động theo một trong các mức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Từ 500.000 đồng đến 2.000.000 đồng với vi phạm từ 01 người đến 10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Từ 2.000.000 đồng đến 5.000.000 đồng với vi phạm từ 11 người đến 50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Từ 5.000.000 đồng đến 10.000.000 đồng với vi phạm từ 51 người đến 100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Từ 10.000.000 đồng đến 15.000.000 đồng với vi phạm từ 101 người đến 300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đ) Từ 15.000.000 đồng đến 20.000.000 đồng với vi phạm từ 301 người lao động trở lên.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từ 20.000.000 đồng đến 25.000.000 đồng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Giữ bản chính giấy tờ tùy thân, văn bằng, chứng chỉ của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lastRenderedPageBreak/>
        <w:t>b) Buộc người lao động thực hiện biện pháp bảo đảm bằng tiền hoặc tài sản khác cho việc thực hiện hợp đồng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Biện pháp khắc phục hậu quả:</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Buộc trả lại bản chính giấy tờ tùy thân, văn bằng, chứng chỉ đã giữ của người lao động đối với hành vi vi phạm quy định tại Điểm a Khoản 2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Buộc trả lại số tiền hoặc tài sản đã giữ của người lao động cộng với khoản tiền lãi của số tiền đã giữ của người lao động tính theo lãi suất tối đa áp dụng đối với tiền gửi không kỳ hạn do Ngân hàng Nhà nước Việt Nam công bố tại thời điểm xử phạt đối với hành vi vi phạm quy định tại Điểm b Khoản 2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6. Vi phạm quy định về thử việc</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cảnh cáo hoặc phạt tiền từ 500.000 đồng đến 1.000.000 đồng đối với người sử dụng lao động yêu cầu thử việc đối với người lao động làm việc theo hợp đồng lao động theo mùa vụ.</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từ 2.000.000 đồng đến 5.000.000 đồng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Yêu cầu người lao động thử việc quá 01 lần;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Thử việc quá thời gian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Trả lương cho người lao động trong thời gian thử việc thấp hơn 85% mức lương của công việc đó.</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Biện pháp khắc phục hậu quả: Buộc trả đủ 100% tiền lương cho người lao động trong thời gian thử việc đối với hành vi vi phạm quy định tại Khoản 1, Điểm b và Điểm c Khoản 2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7. Vi phạm quy định về thực hiện hợp đồng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cảnh cáo hoặc phạt tiền từ 500.000 đồng đến 1.000.000 đồng đối với người sử dụng lao động không thông báo bằng văn bản cho người lao động biết trước ít nhất 15 ngày, trước ngày hợp đồng lao động xác định thời hạn hết hạn.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từ 3.000.000 đồng đến 7.000.000 đồng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Bố trí người lao động làm việc ở địa điểm khác với địa điểm làm việc đã thỏa thuận trong hợp đồng lao động, trừ trường hợp quy định tại Điều 31 của Bộ luật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nhận lại người lao động trở lại làm việc sau khi hết thời hạn tạm hoãn thực hiện hợp đồng lao động, trừ trường hợp người sử dụng lao động và người lao động có thỏa thuận khác.</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Biện pháp khắc phục hậu quả: Buộc trả lương cho người lao động trong những ngày không nhận người lao động trở lại làm việc sau khi hết thời hạn tạm hoãn thực hiện hợp đồng lao động đối với hành vi vi phạm quy định tại Điểm b Khoản 2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8. Vi phạm quy định về sửa đổi, bổ sung, chấm dứt hợp đồng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tiền người sử dụng lao động có một trong các hành vi: Không trả hoặc trả không đủ tiền trợ cấp thôi việc, trợ cấp mất việc làm cho người lao động theo thời hạn quy định tại Khoản 2 Điều 47 của Bộ luật lao động; không hoàn thành thủ tục xác nhận và trả lại những giấy tờ khác đã giữ của người lao động sau khi chấm dứt hợp đồng lao động theo quy định tại Khoản 3 Điều 47 của Bộ luật lao động theo một trong các mức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lastRenderedPageBreak/>
        <w:t>a) Từ 500.000 đồng đến 2.000.000 đồng với vi phạm từ 01 người đến 10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Từ 2.000.000 đồng đến 5.000.000 đồng với vi phạm từ 11 người đến 50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Từ 5.000.000 đồng đến 10.000.000 đồng với vi phạm từ 51 người đến 100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Từ 10.000.000 đồng đến 15.000.000 đồng với vi phạm từ 101 người đến 300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đ) Từ 15.000.000 đồng đến 20.000.000 đồng với vi phạm từ 301 người lao động trở lên.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Biện pháp khắc phục hậu quả:</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Buộc trả đủ tiền trợ cấp thôi việc, trợ cấp mất việc làm cho người lao động cộng với khoản tiền tính theo lãi suất tối đa áp dụng đối với tiền gửi không kỳ hạn do Ngân hàng Nhà nước Việt Nam công bố tại thời điểm xử phạt của số tiền trợ cấp thôi việc, trợ cấp mất việc làm đối với hành vi không trả hoặc trả không đầy đủ tiền trợ cấp thôi việc, trợ cấp mất việc làm cho người lao động quy định tại Khoản 1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Buộc hoàn thành thủ tục xác nhận và trả lại những giấy tờ khác đã giữ cho người lao động đối với hành vi không hoàn thành thủ tục xác nhận và trả lại những giấy tờ khác đã giữ của người lao động sau khi chấm dứt hợp đồng lao động theo quy định tại Khoản 1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9. Vi phạm quy định về cho thuê lại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cảnh cáo hoặc phạt tiền từ 500.000 đồng đến 1.000.000 đồng đối với bên thuê lại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thông báo, hướng dẫn cho người lao động thuê lại biết nội quy lao động và các quy chế khác của doanh nghiệp;</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Phân biệt đối xử về điều kiện làm việc đối với người lao động thuê lại so với người lao động của doanh nghiệp.</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từ 1.000.000 đồng đến 3.000.000 đồng đối với doanh nghiệp hoạt động cho thuê lại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lập hồ sơ ghi rõ số lao động đã cho thuê lại, bên thuê lại lao động, phí cho thuê lại lao động hoặc không báo cáo cơ quan quản lý nhà nước về lao động cấp tỉnh;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thông báo hoặc thông báo sai sự thật cho người lao động biết nội dung của hợp đồng cho thuê lại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Phạt tiền bên thuê lại lao động khi có một trong các hành vi: Chuyển người lao động đã thuê lại cho người sử dụng lao động khác; thu phí đối với người lao động thuê lại; sử dụng người lao động thuê lại làm công việc không thuộc Danh mục công việc được thực hiện cho thuê lại lao động; sử dụng người lao động thuê lại vượt quá thời hạn cho thuê lại lao động theo một trong các mức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Từ 5.000.000 đồng đến 10.000.000 đồng với vi phạm từ 01 người đến 10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Từ 10.000.000 đồng đến 20.000.000 đồng với vi phạm từ 11 người đến 50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lastRenderedPageBreak/>
        <w:t>c) Từ 20.000.000 đồng đến 30.000.000 đồng với vi phạm từ 51 người đến 100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Từ 30.000.000 đồng đến 40.000.000 đồng với vi phạm từ 101 người đến 300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đ) Từ 40.000.000 đồng đến 50.000.000 đồng với vi phạm từ 301 người lao động trở lên.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4. Phạt tiền doanh nghiệp cho thuê lại lao động có một trong các hành vi: Trả lương cho người lao động thuê lại thấp hơn tiền lương của người lao động có cùng trình độ, làm cùng công việc hoặc công việc có giá trị như nhau của bên thuê lại lao động; thực hiện việc cho thuê lại mà không có sự đồng ý của người lao động theo một trong các mức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Từ 10.000.000 đồng đến 20.000.000 đồng với vi phạm từ 01 người đến 10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Từ 20.000.000 đồng đến 40.000.000 đồng với vi phạm từ 11 người đến 50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Từ 40.000.000 đồng đến 60.000.000 đồng với vi phạm từ 51 người đến 100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Từ 60.000.000 đồng đến 80.000.000 đồng với vi phạm từ 101 người đến 300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đ) Từ 80.000.000 đồng đến 100.000.000 đồng với vi phạm từ 301 người lao động trở lên.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5. Phạt tiền từ 50.000.000 đồng đến 75.000.000 đồng đối với hành vi hoạt động cho thuê lại lao động mà không có giấy phép hoạt động cho thuê lại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6. Phạt tiền từ 80.000.000 đồng đến 100.000.000 đồng đối với doanh nghiệp cho thuê lại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Cho doanh nghiệp khác mượn Giấy phép hoạt động cho thuê lại lao động để hoạt động cho thuê lại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Cho thuê lại lao động ở những ngành nghề, công việc không được pháp luật cho phép;</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Cho thuê lại lao động vượt quá thời hạn cho thuê lại lao động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Cho thuê lại lao động giữa doanh nghiệp cho thuê với doanh nghiệp khác trong Công ty mẹ - Công ty con, tập đoàn kinh tế mà doanh nghiệp cho thuê này là doanh nghiệp thành viên.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7. Hình thức xử phạt bổ sung: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Tước quyền sử dụng Giấy phép hoạt động cho thuê lại lao động có thời hạn từ 01 tháng đến 03 tháng đối với hành vi vi phạm quy định tại Khoản 4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Tước quyền sử dụng Giấy phép hoạt động cho thuê lại lao động có thời hạn từ 06 tháng đến 12 tháng đối với các hành vi vi phạm quy định tại Khoản 6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8. Biện pháp khắc phục hậu quả:</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Buộc doanh nghiệp cho thuê lại lao động trả khoản tiền lương chênh lệch cho người lao động đối với hành vi vi phạm quy định tại Khoản 4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lastRenderedPageBreak/>
        <w:t>b) Buộc nộp lại số lợi bất hợp pháp có được do thực hiện hoạt động cho thuê lại lao động đối với hành vi vi phạm quy định tại Khoản 5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10. Vi phạm quy định về đào tạo, bồi dưỡng, nâng cao trình độ kỹ năng nghề</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cảnh cáo hoặc phạt tiền từ 500.000 đồng đến 1.000.000 đồng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xây dựng và tổ chức thực hiện kế hoạch hằng năm về đào tạo bồi dưỡng, nâng cao trình độ, kỹ năng nghề cho người lao động đang làm việc cho mình;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báo cáo kết quả đào tạo, bồi dưỡng nâng cao trình độ, kỹ năng nghề cho cơ quan quản lý nhà nước về lao động cấp tỉnh trong báo cáo hằng năm về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người sử dụng lao động có một trong các hành vi: Không đào tạo nghề cho người lao động trước khi chuyển người lao động sang làm nghề, công việc khác; không ký kết hợp đồng đào tạo nghề đối với người học nghề, tập nghề; không trả lương cho người học nghề trong thời gian họ học nghề, tập nghề mà trực tiếp hoặc tham gia lao động làm ra sản phẩm hợp quy cách; không tiến hành ký kết hợp đồng lao động đối với người học nghề, người tập nghề khi hết thời hạn học nghề, tập nghề, theo một trong các mức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Từ 500.000 đồng đến 2.000.000 đồng với vi phạm từ 01 người đến 10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Từ 2.000.000 đồng đến 5.000.000 đồng với vi phạm từ 11 người đến 50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Từ 5.000.000 đồng đến 10.000.000 đồng với vi phạm từ 51 người đến 100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Từ 10.000.000 đồng đến 15.000.000 đồng với vi phạm từ 101 người đến 300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đ) Từ 15.000.000 đồng đến 20.000.000 đồng với vi phạm từ 301 người lao động trở lên.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Phạt tiền từ 20.000.000 đồng đến 25.000.000 đồng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Lợi dụng danh nghĩa dạy nghề, tập nghề để trục lợi, bóc lột sức lao động hoặc dụ dỗ, ép buộc người học nghề, người tập nghề vào hoạt động trái pháp luật;</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Tuyển người dưới 14 tuổi vào học nghề, tập nghề.</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4. Biện pháp khắc phục hậu quả:</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Buộc trả lương cho người học nghề, người tập nghề khi không trả lương cho người học nghề trong thời gian học nghề, tập nghề mà trực tiếp hoặc tham gia lao động làm ra sản phẩm hợp quy cách đối với hành vi quy định tại Khoản 2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Buộc, nộp lại số lợi bất hợp pháp có được từ việc thực hiện hành vi lợi dụng danh nghĩa dạy nghề, tập nghề để trục lợi, bóc lột sức lao động hoặc dụ dỗ, ép buộc người học nghề, người tập nghề vào hoạt động trái pháp luật đối với hành vi vi phạm quy định tại Điểm a Khoản 3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11. Vi phạm quy định về đối thoại tại nơi làm việc</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cảnh cáo hoặc phạt tiền từ 500.000 đồng đến 1.000.000 đồng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lastRenderedPageBreak/>
        <w:t>a) Không thực hiện nghiêm chỉnh quy chế dân chủ ở cơ sở tại nơi làm việc theo quy định pháp luật;</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bố trí địa điểm và bảo đảm các điều kiện vật chất khác cho việc đối thoại tại nơi làm việc.</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từ 2.000.000 đồng đến 5.000.000 đồng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tiến hành đối thoại tại nơi làm việc định kỳ 03 tháng một lần;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thực hiện đối thoại khi đại diện tập thể lao động yêu cầu.</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12. Vi phạm quy định về thương lượng tập thể, thỏa ước lao động tập thể</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cảnh cáo hoặc phạt tiền từ 500.000 đồng đến 1.000.000 đồng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gửi thỏa ước lao động tập thể đến cơ quan quản lý nhà nước về lao động cấp tỉnh;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trả chi phí cho việc thương lượng, ký kết, sửa đổi, bổ sung, gửi và công bố thỏa ước lao động tập thể;</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Không công bố nội dung của thỏa ước lao động tập thể đã được ký kết cho người lao động biết.</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từ 3.000.000 đồng đến 5.000.000 đồng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cung cấp thông tin về tình hình hoạt động sản xuất, kinh doanh khi tập thể lao động yêu cầu để tiến hành thương lượng tập thể;</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tiến hành thương lượng tập thể để ký kết hoặc sửa đổi, bổ sung thỏa ước lao động tập thể khi nhận được yêu cầu của bên yêu cầu thương lượng.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Phạt tiền từ 10.000.000 đồng đến 15.000.000 đồng đối với người sử dụng lao động thực hiện nội dung thỏa ước lao động tập thể đã bị tuyên bố vô hiệu.</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13. Vi phạm quy định về tiền lương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cảnh cáo hoặc phạt tiền từ 500.000 đồng đến 1.000.000 đồng đối với người sử dụng lao động không gửi thang lương, bảng lương, định mức lao động đến cơ quan quản lý nhà nước về lao động cấp huyện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từ 2.000.000 đồng đến 5.000.000 đồng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xây dựng thang lương, bảng lương, định mức lao động, quy chế thưởng theo quy định pháp luật;</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tham khảo ý kiến của tổ chức đại diện tập thể lao động tại cơ sở khi xây dựng thang lương, bảng lương, định mức lao động, quy chế thưởng;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Không công bố công khai tại nơi làm việc thang lương, bảng lương, định mức lao động, quy chế thưởng;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Không thông báo cho người lao động biết trước về hình thức trả lương ít nhất 10 ngày trước khi thực hiện.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 xml:space="preserve">3. Phạt tiền người sử dụng lao động có một trong các hành vi: Trả lương không đúng hạn theo quy định tại Điều 96 của Bộ luật lao động; trả lương thấp hơn mức quy định tại thang </w:t>
      </w:r>
      <w:r w:rsidRPr="00FA1C6E">
        <w:rPr>
          <w:rFonts w:eastAsia="Times New Roman" w:cs="Times New Roman"/>
          <w:szCs w:val="24"/>
          <w:lang w:eastAsia="vi-VN"/>
        </w:rPr>
        <w:lastRenderedPageBreak/>
        <w:t>lương, bảng lương đã gửi cho cơ quan quản lý nhà nước về lao động cấp huyện; trả lương làm thêm giờ, làm việc ban đêm cho người lao động thấp hơn mức quy định tại Điều 97 của Bộ luật lao động; khấu trừ tiền lương của người lao động trái quy định tại Điều 101 của Bộ luật lao động; trả không đủ tiền lương ngừng việc cho người lao động theo quy định tại Điều 98 của Bộ luật lao động theo một trong các mức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Từ 5.000.000 đồng đến 10.000.000 đồng với vi phạm từ 01 người đến 10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Từ 10.000.000 đồng đến 20.000.000 đồng với vi phạm từ 11 người đến 50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Từ 20.000.000 đồng đến 30.000.000 đồng với vi phạm từ 51 người đến 100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Từ 30.000.000 đồng đến 40.000.000 đồng với vi phạm từ 101 người đến 300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đ) Từ 40.000.000 đồng đến 50.000.000 đồng với vi phạm từ 301 người lao động trở lên.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4. Phạt tiền người sử dụng lao động trả lương cho người lao động thấp hơn mức lương tối thiểu vùng do Chính phủ quy định theo các mức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Từ 20.000.000 đồng đến 30.000.000 đồng với vi phạm từ 01 người đến 10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Từ 30.000.000 đồng đến 50.000.000 đồng với vi phạm từ 11 người đến 50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Từ 50.000.000 đồng đến 75.000.000 đồng với vi phạm từ 51 người lao động trở lên.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5. Hình thức xử phạt bổ sung: Đình chỉ hoạt động từ 01 tháng đến 03 tháng đối với người sử dụng lao động có hành vi vi phạm quy định tại Khoản 4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6. Biện pháp khắc phục hậu quả:</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Buộc trả đủ tiền lương cho người lao động theo quy định đối với hành vi vi phạm quy định tại Khoản 3 và Khoản 4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Buộc trả khoản tiền lãi của số tiền lương chậm trả cho người lao động tính theo lãi suất tối đa áp dụng đối với tiền gửi không kỳ hạn do Ngân hàng Nhà nước Việt Nam công bố tại thời điểm trả lương đối với hành vi vi phạm quy định tại Khoản 3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14. Vi phạm quy định về thời giờ làm việc, thời giờ nghỉ ngơi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tiền từ 2.000.000 đồng đến 5.000.000 đồng đối với người sử dụng lao động có hành vi không bảo đảm cho người lao động nghỉ trong giờ làm việc, nghỉ chuyển ca, nghỉ về việc riêng, nghỉ không hưởng lương đúng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người sử dụng lao động có hành vi vi phạm quy định về nghỉ hằng tuần, nghỉ hằng năm, nghỉ lễ, tết theo các mức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Từ 500.000 đồng đến 1.000.000 đồng với vi phạm từ 01 người đến 10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Từ 1.000.000 đồng đến 3.000.000 đồng với vi phạm từ 11 người đến 50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Từ 3.000.000 đồng đến 7.000.000 đồng với vi phạm từ 51 người đến 100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lastRenderedPageBreak/>
        <w:t>d) Từ 7.000.000 đồng đến 10.000.000 đồng với vi phạm từ 101 người đến 300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đ) Từ 10.000.000 đồng đến 15.000.000 đồng với vi phạm từ 301 người lao động trở lên.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Phạt tiền từ 20.000.000 đồng đến 25.000.000 đồng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Thực hiện thời giờ làm việc bình thường quá số giờ làm việc theo quy định tại Điều 104 của Bộ luật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Huy động người lao động làm thêm giờ mà không được sự đồng ý của người lao động, trừ trường hợp theo quy định tại Điều 107 của Bộ luật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4. Phạt tiền từ 25.000.000 đồng đến 50.000.000 đồng đối với người sử dụng lao động huy động người lao động làm thêm giờ vượt quá số giờ quy định tại Điểm b Khoản 2 Điều 106 của Bộ luật lao động hoặc quá 12 giờ trong 01 ngày khi làm thêm vào ngày nghỉ lễ, tết và ngày nghỉ hằng tuần.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5. Hình thức xử phạt bổ sung: Đình chỉ hoạt động từ 01 tháng đến 03 tháng đối với người sử dụng lao động có hành vi vi phạm quy định tại Khoản 4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15. Vi phạm quy định về kỷ luật lao động, trách nhiệm vật chất</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cảnh cáo hoặc phạt tiền từ 500.000 đồng đến 1.000.000 đồng đối với người sử dụng lao động không thông báo công khai hoặc không niêm yết nội quy lao động ở những nơi cần thiết trong doanh nghiệp.</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từ 5.000.000 đồng đến 10.000.000 đồng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có nội quy lao động bằng văn bản khi sử dụng từ 10 lao động trở lên;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Sử dụng nội quy lao động không được đăng ký với cơ quan quản lý nhà nước về lao động cấp tỉnh;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Sử dụng nội quy lao động đã hết hiệu lực.</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Phạt tiền từ 10.000.000 đồng đến 15.000.000 đồng đối với người sử dụng lao động khi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Xâm phạm thân thể, nhân phẩm của người lao động khi xử lý kỷ luật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Dùng hình thức phạt tiền, cắt lương thay việc xử lý kỷ luật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Xử lý kỷ luật lao động đối với người lao động có hành vi vi phạm không được quy định trong nội quy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4. Biện pháp khắc phục hậu quả:</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Buộc hoàn trả khoản tiền đã thu hoặc trả đủ tiền lương cho người lao động đối với hành vi vi phạm quy định tại Điểm b Khoản 3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Buộc nhận người lao động trở lại làm việc và trả đủ tiền lương cho người lao động trong những ngày đã sa thải trong trường hợp xử lý kỷ luật lao động sa thải người lao động đối với hành vi vi phạm tại Điểm c Khoản 3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16. Vi phạm quy định về an toàn lao động, vệ sinh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tiền từ 2.000.000 đồng đến 5.000.000 đồng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lastRenderedPageBreak/>
        <w:t>a) Không lấy ý kiến tổ chức đại diện tập thể lao động tại cơ sở khi xây dựng kế hoạch hoặc thực hiện các hoạt động bảo đảm an toàn lao động, vệ sinh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kiểm tra, đánh giá các yếu tố nguy hiểm, có hại tại nơi làm việc;</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Không cử người làm công tác an toàn lao động, vệ sinh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Không thống kê, báo cáo định kỳ hoặc báo cáo sai sự thật về tai nạn lao động, bệnh nghề nghiệp, sự cố nghiêm trọng theo quy định của pháp luật.</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từ 5.000.000 đồng đến 10.000.000 đồng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định kỳ đo lường các yếu tố có hại tại nơi làm việc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lập phương án về các biện pháp bảo đảm an toàn lao động, vệ sinh lao động đối với nơi làm việc của người lao động khi xây dựng mới, mở rộng hoặc cải tạo các công trình, cơ sở để sản xuất, sử dụng, bảo quản, lưu giữ các loại máy, thiết bị, vật tư, chất có yêu cầu nghiêm ngặt về an toàn lao động, vệ sinh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Không bảo đảm điều kiện an toàn lao động, vệ sinh lao động đối với nhà xưởng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Vi phạm các quy chuẩn kỹ thuật quốc gia về an toàn lao động, vệ sinh lao động hoặc các tiêu chuẩn về an toàn lao động, vệ sinh lao động đã công bố áp dụng trong sản xuất, sử dụng, bảo quản, vận chuyển đối với các loại máy, thiết bị, vật tư, năng lượng, điện, hóa chất, thuốc bảo vệ thực vật, thay đổi công nghệ, nhập khẩu công nghệ mới;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đ) Không định kỳ kiểm tra, bảo dưỡng máy, thiết bị, nhà xưởng, kho tàng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e) Không có bảng chỉ dẫn về an toàn lao động, vệ sinh lao động đối với máy, thiết bị, nơi làm việc hoặc có nhưng không đặt ở vị trí dễ đọc, dễ thấy tại nơi làm việc;</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g) Không trang bị đầy đủ các phương tiện kỹ thuật, y tế thích hợp để bảo đảm ứng cứu kịp thời khi xảy ra sự cố, tai nạn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h) Không cử người có chuyên môn phù hợp làm cán bộ chuyên trách về an toàn lao động, vệ sinh lao động ở những cơ sở sản xuất, kinh doanh trong các lĩnh vực có nhiều nguy cơ gây tai nạn lao động, bệnh nghề nghiệp;</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i) Không phân loại lao động theo danh mục công việc nặng nhọc, độc hại, nguy hiểm và đặc biệt nặng nhọc, độc hại, nguy hiểm để thực hiện các chế độ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k) Không khai báo, điều tra tai nạn lao động, sự cố nghiêm trọng;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l) Không thanh toán phần chi phí đồng chi trả và những chi phí không nằm trong danh mục do bảo hiểm y tế chi trả đối với người lao động tham gia bảo hiểm y tế; không thanh toán toàn bộ chi phí y tế từ khi sơ cứu, cấp cứu đến khi điều trị ổn định đối với người lao động không tham gia bảo hiểm y tế;</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m) Không thực hiện chế độ trợ cấp, bồi thường cho người lao động bị tai nạn lao động, bệnh nghề nghiệp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Biện pháp khắc phục hậu quả:</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 xml:space="preserve">a) Buộc người sử dụng lao động lập phương án về các biện pháp bảo đảm an toàn lao động, vệ sinh lao động đối với nơi làm việc của người lao động khi xây dựng mới, mở rộng hoặc cải tạo các công trình, cơ sở để sản xuất, sử dụng, bảo quản, lưu giữ các loại máy, thiết </w:t>
      </w:r>
      <w:r w:rsidRPr="00FA1C6E">
        <w:rPr>
          <w:rFonts w:eastAsia="Times New Roman" w:cs="Times New Roman"/>
          <w:szCs w:val="24"/>
          <w:lang w:eastAsia="vi-VN"/>
        </w:rPr>
        <w:lastRenderedPageBreak/>
        <w:t>bị, vật tư, chất có yêu cầu nghiêm ngặt về an toàn lao động, vệ sinh lao động khi có hành vi vi phạm quy định tại Điểm b Khoản 2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Thực hiện các quy chuẩn kỹ thuật, tiêu chuẩn an toàn lao động, vệ sinh lao động đã công bố áp dụng về đối với hành vi vi phạm quy định tại Điểm c và Điểm d Khoản 2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Buộc người sử dụng lao động trang bị các phương tiện kỹ thuật, y tế đối với hành vi vi phạm quy định tại Điểm g Khoản 2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Buộc người sử dụng lao động thanh toán phần chi phí đồng chi trả và những chi phí không nằm trong danh mục do bảo hiểm y tế chi trả đối với người lao động tham gia bảo hiểm y tế; thanh toán toàn bộ chi phí y tế từ khi sơ cứu, cấp cứu đến khi điều trị ổn định đối với người lao động không tham gia bảo hiểm y tế đối với hành vi vi phạm quy định tại Điểm 1 Khoản 2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đ) Buộc trả trợ cấp, bồi thường cho người lao động cộng với khoản tiền tính theo lãi suất tối đa áp dụng với tiền gửi không kỳ hạn do Ngân hàng nhà nước Việt Nam công bố tại thời điểm xử phạt của số tiền trợ cấp, bồi thường đối với hành vi vi phạm quy định tại Điểm m Khoản 2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17. Vi phạm quy định về phòng ngừa tai nạn lao động, bệnh nghề nghiệp</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cảnh cáo hoặc phạt tiền từ 500.000 đồng đến 1.000.000  đồng đối với người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báo cáo kịp thời với người có trách nhiệm khi phát hiện nguy cơ gây tai nạn lao động, bệnh nghề nghiệp, gây độc hại hoặc sự cố nguy hiểm;</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tham gia cấp cứu và khắc phục hậu quả tai nạn lao động khi có lệnh của người sử dụng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Không sử dụng phương tiện bảo vệ cá nhân được trang bị hoặc sử dụng phương tiện bảo vệ cá nhân sai mục đích.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người sử dụng lao động không tổ chức huấn luyện an toàn lao động, vệ sinh lao động cho người lao động, người học nghề, tập nghề khi tuyển dụng và sắp xếp lao động theo một trong các mức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Từ 1.000.000 đồng đến 3.000.000 đồng với vi phạm từ 01 người đến 10 người;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Từ 3.000.000 đồng đến 5.000.000 đồng với vi phạm từ 11 người đến 50 người;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Từ 5.000.000 đồng đến 10.000.000 đồng với vi phạm từ 51 người đến 100 người;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Từ 10.000.000 đồng đến 15.000.000 đồng với vi phạm từ 101 người đến 300 người;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đ) Từ 15.000.000 đồng đến 20.000.000 đồng với vi phạm từ 301 người trở lên.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Phạt tiền từ 10.000.000 đồng đến 15.000.000 đồng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thực hiện ngay những biện pháp khắc phục hoặc ngừng hoạt động của máy, thiết bị, nơi làm việc có nguy cơ gây tai nạn lao động, bệnh nghề nghiệp;</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điều trị hoặc khám sức khỏe định kỳ hoặc lập hồ sơ sức khỏe riêng biệt cho người lao động bị bệnh nghề nghiệp;</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Không có giấy chứng nhận huấn luyện về an toàn lao động, vệ sinh lao động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lastRenderedPageBreak/>
        <w:t>d) Sử dụng người làm công tác an toàn lao động, vệ sinh lao động mà không có chứng chỉ huấn luyện về an toàn lao động, vệ sinh lao động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đ) Không thông tin về tình hình tai nạn lao động, bệnh nghề nghiệp, các yếu tố nguy hiểm, có hại và các biện pháp bảo đảm an toàn lao động, vệ sinh lao động tại nơi làm việc cho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e) Không tổ chức khám sức khỏe định kỳ cho người lao động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g) Không tổ chức khám bệnh nghề nghiệp cho người lao động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h) Không bố trí công việc phù hợp với sức khỏe người lao động bị bệnh nghề nghiệp, bị tai nạn lao động theo kết luận của Hội đồng giám định y khoa;</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i) Không thực hiện các biện pháp khử độc, khử trùng cho người lao động làm việc ở nơi có yếu tố gây nhiễm độc, nhiễm trùng khi hết giờ làm việc.</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4. Phạt tiền người sử dụng lao động có một trong các hành vi: Không trang bị đầy đủ phương tiện bảo vệ cá nhân hoặc có trang bị nhưng không đạt tiêu chuẩn về chất lượng, quy cách theo quy chuẩn kỹ thuật đối với người làm công việc có yếu tố nguy hiểm, độc hại; không thực hiện chế độ bồi dưỡng bằng hiện vật cho người lao động làm việc trong điều kiện có yếu tố nguy hiểm, độc hại; trả tiền thay cho việc bồi dưỡng bằng hiện vật theo một trong các mức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Từ 3.000.000 đồng đến 6.000.000 đồng với vi phạm từ 01 người đến 10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Từ 6.000.000 đồng đến 10.000.000 đồng với vi phạm từ 11 người đến 50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Từ 10.000.000 đồng đến 15.000.000 đồng với vi phạm từ 51 người đến 100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bookmarkStart w:id="0" w:name="bookmark0"/>
      <w:r w:rsidRPr="00FA1C6E">
        <w:rPr>
          <w:rFonts w:eastAsia="Times New Roman" w:cs="Times New Roman"/>
          <w:szCs w:val="24"/>
          <w:lang w:eastAsia="vi-VN"/>
        </w:rPr>
        <w:t xml:space="preserve">d) </w:t>
      </w:r>
      <w:bookmarkEnd w:id="0"/>
      <w:r w:rsidRPr="00FA1C6E">
        <w:rPr>
          <w:rFonts w:eastAsia="Times New Roman" w:cs="Times New Roman"/>
          <w:szCs w:val="24"/>
          <w:lang w:eastAsia="vi-VN"/>
        </w:rPr>
        <w:t>Từ 15.000.000 đồng đến 20.000.000 đồng với vi phạm từ 101 người đến 300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đ) Từ 20.000.000 đồng đến 30.000.000 đồng với vi phạm từ 301 người lao động trở lên.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5. Phạt tiền người sử dụng lao động vi phạm các quy định về sử dụng các loại máy, thiết bị, vật tư có yêu cầu nghiêm ngặt về an toàn lao động như sau:</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Từ 1.000.000 đồng đến 3.000.000 đồng đối với hành vi không báo cáo cơ quan có thẩm quyền việc kiểm định các loại máy, thiết bị, vật tư có yêu cầu nghiêm ngặt về an toàn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Từ 3.000.000 đồng đến 5.000.000 đồng đối với hành vi không khai báo trước khi đưa vào sử dụng các loại máy, thiết bị, vật tư có yêu cầu nghiêm ngặt về an toàn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Từ 50.000.000 đồng đến 75.000.000 đồng đối với hành vi tiếp tục sử dụng máy, thiết bị, vật tư có yêu cầu nghiêm ngặt về an toàn lao động đã thực hiện kiểm định nhưng kết quả kiểm định không đạt yêu cầu;</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Từ 02 đến 03 lần tổng giá trị phí kiểm định máy, thiết bị vật tư vi phạm.</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6. Phạt tiền tổ chức hoạt động dịch vụ huấn luyện an toàn lao động, vệ sinh lao động vi phạm quy định về hoạt động huấn luyện an toàn lao động, vệ sinh lao động như sau:</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Từ 2.000.000 đồng đến 5.000.000 đồng đối với hành vi không báo cáo hoạt động dịch vụ huấn luyện an toàn lao động, vệ sinh lao động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lastRenderedPageBreak/>
        <w:t>b) Từ 5.000.000 đồng đến 10.000.000 đồng đối với một trong các hành vi: Huấn luyện không đúng nội dung, chương trình; không đảm bảo các điều kiện về giảng viên, cơ sở vật chất khi tổ chức huấn luyện; không duy trì đúng quy định về điều kiện hoạt động dịch vụ huấn luyện theo giấy chứng nhận đủ điều kiện hoạt động huấn luyện;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Từ 20.000.000 đồng đến 25.000.000 đồng đối với một trong các hành vi: Cấp giấy chứng nhận, chứng chỉ huấn luyện mà không thực hiện huấn luyện; cấp giấy chứng nhận, chứng chỉ sai đối tượng huấn luyện; thực hiện huấn luyện ngoài phạm vi quy định tại giấy chứng nhận đủ điều kiện hoạt động huấn luyện;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Từ 25.000.000 đồng đến 50.000.000 đồng đối với một trong các hành vi: Giả mạo hồ sơ, tài liệu trong tổ chức huấn luyện; gian lận trong hoạt động huấn luyện;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đ) Từ 50.000.000 đồng đến 75.000.000 đồng khi có một trong các hành vi: Thực hiện hoạt động huấn luyện khi không có giấy chứng nhận đủ điều kiện hoạt động huấn luyện hoặc giấy chứng nhận đủ điều kiện hoạt động huấn luyện đã hết hiệu lực; sử dụng hồ sơ, tài liệu giả mạo, sai sự thật để đề nghị cấp giấy chứng nhận đủ điều kiện hoạt động huấn luyện.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7. Phạt tiền tổ chức hoạt động dịch vụ kiểm định kỹ thuật an toàn lao động có hành vi vi phạm quy định về hoạt động kiểm định kỹ thuật an toàn lao động như sau:</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Từ 2.000.000 đồng đến 5.000.000 đồng đối với hành vi không báo cáo hoạt động kiểm định kỹ thuật an toàn lao động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Từ 5.000.000 đồng đến 10.000.000 đồng đối với một trong các hành vi: Không duy trì đúng quy định về điều kiện hoạt động kiểm định theo giấy chứng nhận đủ điều kiện hoạt động kiểm định; liên tục trong 18 tháng không báo cáo cơ quan có thẩm quyền về tình hình hoạt động kiểm định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Từ 40.000.000 đồng đến 50.000.000 đồng đối với một trong các hành vi: Thực hiện hoạt động kiểm định ngoài phạm vi ghi trong theo giấy chứng nhận đủ điều kiện hoạt động kiểm định; không thực hiện đúng quy trình kiểm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Từ 50.000.000 đồng đến 70.000.000 đồng đối với một trong các hành vi: Sửa chữa nội dung giấy chứng nhận đủ điều kiện hoạt động kiểm định; giả mạo hồ sơ, tài liệu khi thực hiện kiểm định; gian lận trong hoạt động kiểm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đ) Từ 70.000.000 đồng đến 100.000.000 đồng đối với một trong các hành vi: Cung cấp kết quả kiểm định sai; cung cấp kết quả kiểm định mà không thực hiện kiểm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e) Từ 100.000.000 đồng đến 150.000.000 đồng đối với một trong các hành vi: Thực hiện hoạt động kiểm định nhưng không có giấy chứng nhận đủ điều kiện hoạt động kiểm định hoặc giấy chứng nhận đủ điều kiện hoạt động kiểm định đã hết hiệu lực; sử dụng hồ sơ, tài liệu giả mạo, sai sự thật để đề nghị cấp giấy chứng nhận đủ điều kiện hoạt động kiểm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8. Phạt tiền từ 2.000.000 đến 4.000.000 đồng đối với kiểm định viên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thực hiện đúng quy trình kiểm định đã công bố hoặc do cơ quan có thẩm quyền ban hành;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Thực hiện kiểm định khi chưa có chứng chỉ kiểm định viên hoặc chứng chỉ kiểm định viên hết hiệu lực hoặc ngoài phạm vi ghi trong chứng chỉ.</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9. Hình thức xử phạt bổ sung: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Đình chỉ hoạt động huấn luyện từ 01 tháng đến 03 tháng đối với tổ chức hoạt động dịch vụ huấn luyện an toàn lao động, vệ sinh lao động có hành vi vi phạm quy định tại Điểm b Khoản 6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lastRenderedPageBreak/>
        <w:t>b) Tước quyền sử dụng giấy chứng nhận đủ điều kiện hoạt động huấn luyện an toàn lao động, vệ sinh lao động từ 01 tháng đến 06 tháng đối với tổ chức hoạt động dịch vụ huấn luyện an toàn lao động, vệ sinh lao động có hành vi vi phạm quy định tại Điểm c và Điểm d Khoản 6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Đình chỉ hoạt động kiểm định từ 01 tháng đến 03 tháng đối với tổ chức hoạt động dịch vụ kiểm định kỹ thuật an toàn lao động có hành vi vi phạm quy định tại Điểm b Khoản 7 của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Tước quyền sử dụng giấy chứng nhận đủ điều kiện hoạt động kiểm định kỹ thuật an toàn lao động từ 01 tháng đến 06 tháng đối với tổ chức hoạt động dịch vụ kiểm định kỹ thuật an toàn lao động có hành vi vi phạm quy định tại Điểm c và Điểm d Khoản 7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đ) Tước quyền sử dụng chứng chỉ kiểm định viên từ 01 tháng đến 03 tháng đối với hành vi vi phạm quy định tại Điểm a Khoản 8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10. Biện pháp khắc phục hậu quả:</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Buộc trả người lao động khoản bồi dưỡng bằng hiện vật được quy thành tiền theo mức quy định đối với hành vi vi phạm về bồi dưỡng bằng hiện vật quy định tại Khoản 4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Buộc trang bị đầy đủ phương tiện bảo vệ cá nhân đạt tiêu chuẩn về chất lượng, quy cách theo quy chuẩn kỹ thuật tương ứng cho người làm công việc có yếu tố nguy hiểm, độc hại đối với hành vi vi phạm về trang bị phương tiện bảo vệ cá nhân quy định tại Khoản 4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Buộc ngừng sử dụng máy, thiết bị, nơi làm việc có nguy cơ gây tai nạn lao động, bệnh nghề nghiệp đối với hành vi vi phạm quy định tại Điểm a Khoản 3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Buộc ngừng sử dụng các loại máy, thiết bị, vật tư có yêu cầu nghiêm ngặt về an toàn lao động theo quy định đối với hành vi vi phạm quy định tại Điểm c và Điểm d Khoản 5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đ) Buộc thu hồi giấy chứng nhận, chứng chỉ huấn luyện an toàn lao động, vệ sinh lao động đối với hành vi vi phạm quy định tại Điểm c Khoản 6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e) Buộc thu hồi kết quả kiểm định đối với hành vi vi phạm quy định tại Điểm c và Điểm đ Khoản 7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18. Vi phạm quy định về lao động nữ</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cảnh cáo hoặc phạt tiền từ 500.000 đồng đến 1.000.000 đồng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tham khảo ý kiến của lao động nữ hoặc đại diện của họ khi quyết định những vấn đề có liên quan đến quyền và lợi ích của lao động nữ;</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cho lao động nữ nghỉ 30 phút mỗi ngày trong thời gian hành kinh.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từ 10.000.000 đồng đến 20.000.000 đồng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Sử dụng lao động nữ làm thêm giờ, làm việc ban đêm và đi công tác xa thuộc một trong các trường hợp: Mang thai từ tháng thứ 07 hoặc từ tháng thứ 06 nếu làm việc ở vùng cao, vùng sâu, vùng xa, biên giới, hải đảo; đang nuôi con dưới 12 tháng tuổi;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thực hiện việc chuyển công việc hoặc giảm giờ làm đối với lao động nữ mang thai từ tháng thứ 07 đang làm công việc nặng nhọc theo quy định tại Khoản 2 Điều 155 của Bộ luật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lastRenderedPageBreak/>
        <w:t>c) Không cho lao động nữ trong thời gian nuôi con dưới 12 tháng tuổi nghỉ 60 phút mỗi ngày;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Không bảo đảm việc làm cũ khi lao động nữ trở lại làm việc sau khi hết thời gian nghỉ thai sản theo quy định tại Khoản 1 và Khoản 3 Điều 157 của Bộ luật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đ) Xử lý kỷ luật lao động đối với lao động nữ đang trong thời gian mang thai, nghỉ hưởng chế độ khi sinh con theo quy định của pháp luật về bảo hiểm xã hội, nuôi con dưới 12 tháng tuổi;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e) Sa thải hoặc đơn phương chấm dứt hợp đồng lao động đối với lao động nữ vì lý do kết hôn, có thai, nghỉ thai sản, nuôi con dưới 12 tháng tuổi, trừ trường hợp người sử dụng lao động là cá nhân chết, bị Tòa án tuyên bố mất năng lực hành vi dân sự, mất tích hoặc là đã chết hoặc người sử dụng lao động không phải là cá nhân chấm dứt hoạt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g) Sử dụng lao động nữ làm công việc không được sử dụng lao động nữ theo quy định tại Điều 160 của Bộ luật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19. Vi phạm quy định về lao động chưa thành niên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cảnh cáo đối với người sử dụng lao động có hành vi không lập sổ theo dõi riêng khi sử dụng lao động chưa thành niên hoặc không xuất trình sổ theo dõi khi cơ quan nhà nước có thẩm quyền yêu cầu.</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từ 10.000.000 đồng đến 15.000.000 đồng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Sử dụng người dưới 15 tuổi mà không ký kết hợp đồng lao động bằng văn bản với người đại diện theo pháp luật;</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Sử dụng lao động chưa thành niên làm việc quá thời giờ làm việc quy định tại Khoản 2 Điều 163 của Bộ luật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Sử dụng người từ đủ 15 tuổi đến dưới 18 tuổi làm thêm giờ, làm việc vào ban đêm, trừ một số nghề, công việc được pháp luật cho phép.</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Phạt tiền từ 20.000.000 đồng đến 25.000.000 đồng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Sử dụng lao động là người chưa thành niên làm công việc, tại nơi làm việc bị cấm sử dụng theo quy định tại Điều 165 của Bộ luật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Sử dụng người dưới 15 tuổi làm công việc ngoài danh mục được pháp luật cho phép theo quy định tại Khoản 1 và Khoản 3 Điều 164 của Bộ luật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20. Vi phạm quy định về lao động là người giúp việc gia đình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cảnh cáo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ký kết hợp đồng lao động bằng văn bản với người giúp việc gia đình;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trả tiền tàu xe đi đường khi người giúp việc gia đình thôi việc về nơi cư trú, trừ trường hợp người giúp việc gia đình chấm dứt hợp đồng lao động trước thời hạn.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từ 5.000.000 đồng đến 7.000.000 đồng đối với người sử dụng lao động có hành vi giữ giấy tờ tùy thân của người giúp việc gia đình.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Biện pháp khắc phục hậu quả:</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Buộc trả đủ tiền tàu xe đi đường cho người giúp việc gia đình đối với hành vi vi phạm quy định tại Điểm b Khoản 1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lastRenderedPageBreak/>
        <w:t>b) Buộc trả giấy tờ tùy thân cho người giúp việc gia đình đối với hành vi vi phạm quy định tại Khoản 2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21. Vi phạm quy định về người lao động cao tuổi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cảnh cáo hoặc phạt tiền từ 500.000 đồng đến 1.000.000 đồng đối với người sử dụng lao động sử dụng người lao động cao tuổi đang hưởng hưu trí hằng tháng nhưng không trả khoản tiền bảo hiểm xã hội, bảo hiểm y tế,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từ 10.000.000 đồng đến 15.000.000 đồng đối với người sử dụng lao động có hành vi sử dụng người lao động cao tuổi làm những công việc nặng nhọc, độc hại, nguy hiểm có ảnh hưởng xấu tới sức khỏe người lao động cao tuổi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Biện pháp khắc phục hậu quả: Buộc hoàn trả khoản tiền bảo hiểm xã hội, bảo hiểm y tế đối với hành vi vi phạm quy định tại Khoản 1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22. Vi phạm quy định về người nước ngoài làm việc tại Việt Nam</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Trục xuất người lao động nước ngoài làm việc tại Việt Nam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Làm việc nhưng không có giấy phép lao động, trừ các trường hợp không thuộc diện cấp giấy phép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Sử dụng giấy phép lao động đã hết hạn.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người sử dụng lao động sử dụng lao động nước ngoài làm việc tại Việt Nam mà không có giấy phép lao động, trừ trường hợp không thuộc diện cấp giấy phép lao động hoặc sử dụng giấy phép lao động đã hết hạn theo một trong các mức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Từ 30.000.000 đồng đến 45.000.000 đồng khi sử dụng từ 01 người đến 10 người;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Từ 45.000.000 đồng đến 60.000.000 đồng khi sử dụng từ 11 người đến 20 người;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Từ 60.000.000 đồng đến 75.000.000 đồng khi sử dụng từ 21 người trở lên.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Hình thức xử phạt bổ sung: Đình chỉ hoạt động của doanh nghiệp từ 01 tháng đến 03 tháng đối với hành vi vi phạm quy định tại Khoản 2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23. Vi phạm quy định về giải quyết tranh chấp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cảnh cáo đối với người lao động có hành vi tham gia đình công sau khi có quyết định hoãn hoặc ngừng đình công của Chủ tịch Ủy ban nhân dân tỉnh, thành phố trực thuộc Trung ương.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từ 1.000.000 đồng đến 2.000.000 đồng đối với người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Cản trở việc thực hiện quyền đình công hoặc kích động, lôi kéo, ép buộc người lao động đình công;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Cản trở người lao động không tham gia đình công đi làm việc;</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Hủy hoại máy, thiết bị, tài sản của người sử lao động hoặc xâm phạm trật tự, an toàn công cộng trong khi đình công hoặc lợi dụng đình công để thực hiện hành vi vi phạm pháp luật khác.</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Phạt tiền từ 3.000.000 đồng đến 5.000.000 đồng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lastRenderedPageBreak/>
        <w:t>a) Chấm dứt hợp đồng lao động hoặc xử lý kỷ luật lao động đối với người lao động, người lãnh đạo đình công hoặc điều động người lao động, người lãnh đạo đình công sang làm việc khác, đi làm việc ở nơi khác vì lý do chuẩn bị đình công hoặc tham gia đình công;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Trù dập, trả thù đối với người lao động tham gia đình công, người lãnh đạo đình công;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Đóng cửa tạm thời nơi làm việc trong trường hợp theo quy định tại Điều 217 của Bộ luật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4. Biện pháp khắc phục hậu quả: Buộc người sử dụng lao động trả lương cho người lao động trong những ngày đóng cửa tạm thời nơi làm việc đối với hành vi vi phạm quy định tại Điểm c Khoản 3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24. Vi phạm quy định về công đoàn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tiền từ 1.000.000 đồng đến 3.000.000 đồng đối với người sử dụng lao động có hành vi không bố trí nơi làm việc, không bảo đảm các phương tiện làm việc cần thiết cho cán bộ công đoàn.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từ 5.000.000 đồng đến 10.000.000 đồng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bố trí thời gian trong giờ làm việc cho cán bộ công đoàn không chuyên trách hoạt động công tác công đoàn;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cho người làm công tác công đoàn chuyên trách được hưởng các quyền lợi và phúc lợi tập thể như người lao động khác trong cùng tổ chức;</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Phân biệt đối xử về tiền lương, thời giờ làm việc và các quyền và nghĩa vụ khác trong quan hệ lao động nhằm cản trở việc thành lập, gia nhập và hoạt động công đoàn của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Không trả lương cho người làm công tác công đoàn không chuyên trách trong thời gian hoạt động công đoàn;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đ) Không cho cán bộ công đoàn cấp trên cơ sở vào tổ chức để hoạt động công tác công đoàn.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Phạt tiền từ 10.000.000 đồng đến 15.000.000 đồng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Cản trở, gây khó khăn cho việc thành lập, gia nhập và hoạt động công đoàn của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Ép buộc người lao động thành lập, gia nhập và hoạt động công đoàn;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Yêu cầu người lao động không tham gia hoặc rời khỏi tổ chức công đoàn;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Không gia hạn hợp đồng lao động đối với cán bộ công đoàn không chuyên trách đang trong nhiệm kỳ công đoàn mà hết hạn hợp đồng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25. Vi phạm những quy định khác</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cảnh cáo hoặc phạt tiền từ 500.000 đồng đến 1.000.000 đồng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lập sổ quản lý lao động, sổ lương hoặc không xuất trình khi cơ quan có thẩm quyền yêu cầu;</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lastRenderedPageBreak/>
        <w:t>b) Không khai trình việc sử dụng lao động trong thời hạn 30 ngày, kể từ ngày bắt đầu hoạt động và định kỳ báo cáo tình hình thay đổi về lao động trong quá trình hoạt động với cơ quan quản lý nhà nước về lao động ở địa phương;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Vi phạm các quy định về trình tự, thủ tục, hồ sơ tuyển dụng lao động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từ 5.000.000 đồng đến 10.000.000 đồng đối với hành vi phân biệt đối xử về giới tính, dân tộc, màu da, thành phần xã hội, tình trạng hôn nhân, tín ngưỡng, tôn giáo, nhiễm HIV, khuyết tật trong tuyển dụng, sử dụng và quản lý lao động.</w:t>
      </w:r>
    </w:p>
    <w:p w:rsidR="00FA1C6E" w:rsidRPr="00FA1C6E" w:rsidRDefault="00FA1C6E" w:rsidP="00FA1C6E">
      <w:pPr>
        <w:spacing w:after="120" w:line="240" w:lineRule="auto"/>
        <w:ind w:firstLine="720"/>
        <w:jc w:val="both"/>
        <w:rPr>
          <w:rFonts w:eastAsia="Times New Roman" w:cs="Times New Roman"/>
          <w:szCs w:val="24"/>
          <w:lang w:eastAsia="vi-VN"/>
        </w:rPr>
      </w:pPr>
    </w:p>
    <w:p w:rsidR="00FA1C6E" w:rsidRPr="00FA1C6E" w:rsidRDefault="00FA1C6E" w:rsidP="00FA1C6E">
      <w:pPr>
        <w:spacing w:after="0" w:line="240" w:lineRule="auto"/>
        <w:jc w:val="center"/>
        <w:rPr>
          <w:rFonts w:eastAsia="Times New Roman" w:cs="Times New Roman"/>
          <w:szCs w:val="24"/>
          <w:lang w:eastAsia="vi-VN"/>
        </w:rPr>
      </w:pPr>
      <w:r w:rsidRPr="00FA1C6E">
        <w:rPr>
          <w:rFonts w:eastAsia="Times New Roman" w:cs="Times New Roman"/>
          <w:b/>
          <w:bCs/>
          <w:szCs w:val="24"/>
          <w:lang w:eastAsia="vi-VN"/>
        </w:rPr>
        <w:t>Chương 3.</w:t>
      </w:r>
    </w:p>
    <w:p w:rsidR="00FA1C6E" w:rsidRPr="00FA1C6E" w:rsidRDefault="00FA1C6E" w:rsidP="00FA1C6E">
      <w:pPr>
        <w:spacing w:after="0" w:line="240" w:lineRule="auto"/>
        <w:jc w:val="center"/>
        <w:rPr>
          <w:rFonts w:eastAsia="Times New Roman" w:cs="Times New Roman"/>
          <w:b/>
          <w:bCs/>
          <w:szCs w:val="24"/>
          <w:lang w:eastAsia="vi-VN"/>
        </w:rPr>
      </w:pPr>
      <w:r w:rsidRPr="00FA1C6E">
        <w:rPr>
          <w:rFonts w:eastAsia="Times New Roman" w:cs="Times New Roman"/>
          <w:b/>
          <w:bCs/>
          <w:szCs w:val="24"/>
          <w:lang w:eastAsia="vi-VN"/>
        </w:rPr>
        <w:t xml:space="preserve">HÀNH VI VI PHẠM, HÌNH THỨC XỬ PHẠT, MỨC XỬ PHẠT VÀ BIỆN PHÁP </w:t>
      </w:r>
    </w:p>
    <w:p w:rsidR="00FA1C6E" w:rsidRPr="00FA1C6E" w:rsidRDefault="00FA1C6E" w:rsidP="00FA1C6E">
      <w:pPr>
        <w:spacing w:after="0" w:line="240" w:lineRule="auto"/>
        <w:jc w:val="center"/>
        <w:rPr>
          <w:rFonts w:eastAsia="Times New Roman" w:cs="Times New Roman"/>
          <w:b/>
          <w:bCs/>
          <w:szCs w:val="24"/>
          <w:lang w:eastAsia="vi-VN"/>
        </w:rPr>
      </w:pPr>
      <w:r w:rsidRPr="00FA1C6E">
        <w:rPr>
          <w:rFonts w:eastAsia="Times New Roman" w:cs="Times New Roman"/>
          <w:b/>
          <w:bCs/>
          <w:szCs w:val="24"/>
          <w:lang w:eastAsia="vi-VN"/>
        </w:rPr>
        <w:t>KHẮC PHỤC HẬU QUẢ ĐỐI VỚI HÀNH VI VI PHẠM TRONG LĨNH VỰC BẢO HIỂM XÃ HỘI</w:t>
      </w:r>
    </w:p>
    <w:p w:rsidR="00FA1C6E" w:rsidRPr="00FA1C6E" w:rsidRDefault="00FA1C6E" w:rsidP="00FA1C6E">
      <w:pPr>
        <w:spacing w:after="0" w:line="240" w:lineRule="auto"/>
        <w:jc w:val="center"/>
        <w:rPr>
          <w:rFonts w:eastAsia="Times New Roman" w:cs="Times New Roman"/>
          <w:szCs w:val="24"/>
          <w:lang w:eastAsia="vi-VN"/>
        </w:rPr>
      </w:pP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26. Vi phạm quy định về đóng bảo hiểm xã hội bắt buộc, bảo hiểm thất nghiệp</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cảnh cáo hoặc phạt tiền từ 500.000 đồng đến 1.000.000 đồng đối với người lao động có hành vi thỏa thuận với người sử dụng lao động không tham gia bảo hiểm xã hội bắt buộc, bảo hiểm thất nghiệp.</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với mức từ 12% đến 15% tổng số tiền phải đóng bảo hiểm xã hội bắt buộc, bảo hiểm thất nghiệp tại thời điểm lập biên bản vi phạm hành chính nhưng tối đa không quá 75.000.000 đồng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Chậm đóng bảo hiểm xã hội bắt buộc, bảo hiểm thất nghiệp;</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Đóng bảo hiểm xã hội bắt buộc, bảo hiểm thất nghiệp không đúng mức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Đóng bảo hiểm xã hội, bảo hiểm thất nghiệp không đủ số người thuộc diện tham gia bảo hiểm xã hội bắt buộc, bảo hiểm thất nghiệp.</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Phạt tiền với mức từ 18% đến 20% tổng số tiền phải đóng bảo hiểm xã hội bắt buộc, bảo hiểm thất nghiệp tại thời điểm lập biên bản vi phạm hành chính nhưng tối đa không quá 75.000.000 đồng đối với người sử dụng lao động không đóng bảo hiểm xã hội bắt buộc, bảo hiểm thất nghiệp cho toàn bộ người lao động thuộc diện tham gia bảo hiểm xã hội bắt buộc, bảo hiểm thất nghiệp.</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4. Biện pháp khắc phục hậu quả:</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Buộc truy nộp số tiền bảo hiểm xã hội bắt buộc, bảo hiểm thất nghiệp chưa đóng, chậm đóng đối với hành vi vi phạm quy định tại Khoản 1, Khoản 2 và Khoản 3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Buộc đóng số tiền lãi của số tiền bảo hiểm xã hội bắt buộc, bảo hiểm thất nghiệp chưa đóng, chậm đóng theo mức lãi suất của hoạt động đầu tư từ Quỹ bảo hiểm xã hội trong năm đối với vi phạm quy định tại Khoản 2 và Khoản 3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27. Vi phạm quy định về lập hồ sơ để hưởng chế độ bảo hiểm xã hội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tiền từ 500.000 đồng đến 1.000.000 đồng đối với người lao động có hành vi kê khai không đúng sự thật hoặc sửa chữa, tẩy xóa những nội dung có liên quan đến việc hưởng bảo hiểm xã hội bắt buộc, bảo hiểm xã hội tự nguyện, bảo hiểm thất nghiệp.</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từ 5.000.000 đồng đến 10.000.000 đồng đối với người sử dụng lao động có hành vi giả mạo hồ sơ bảo hiểm xã hội để hưởng chế độ bảo hiểm xã hội đối với mỗi hồ sơ hưởng bảo hiểm xã hội giả mạo.</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lastRenderedPageBreak/>
        <w:t>3. Biện pháp khắc phục hậu quả: Buộc nộp lại cho tổ chức bảo hiểm xã hội số tiền bảo hiểm xã hội đã nhận do thực hiện hành vi vi phạm quy định tại Khoản 1 và Khoản 2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28. Vi phạm các quy định khác về bảo hiểm xã hội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cảnh cáo hoặc phạt tiền từ 300.000 đồng đến 800.000 đồng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cung cấp tài liệu, thông tin về bảo hiểm xã hội bắt buộc, bảo hiểm thất nghiệp theo yêu cầu của cơ quan nhà nước có thẩm quyền;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cung cấp thông tin về đóng bảo hiểm xã hội bắt buộc, bảo hiểm thất nghiệp của người lao động khi người lao động hoặc tổ chức công đoàn yêu cầu.</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từ 200.000 đồng đến 500.000 đồng khi vi phạm với mỗi người lao động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trả chế độ ốm đau, thai sản, trợ cấp dưỡng sức, phục hồi sức khỏe sau ốm đau, thai sản trong thời hạn 03 ngày làm việc, kể từ ngày nhận đủ giấy tờ hợp lệ của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trả chế độ tai nạn lao động, bệnh nghề nghiệp trong thời hạn 15 ngày, kể từ ngày nhận được quyết định chi trả của cơ quan bảo hiểm xã hội;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Làm mất mát, hư hỏng, sửa chữa, tẩy xóa sổ bảo hiểm xã hội.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Phạt tiền từ 500.000 đồng đến 1.000.000 đồng khi vi phạm với mỗi người lao động đối với người sử dụng lao động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lập hồ sơ tham gia bảo hiểm xã hội bắt buộc, bảo hiểm thất nghiệp cho người lao động trong thời hạn 30 ngày, kể từ ngày giao kết hợp đồng lao động, hợp đồng làm việc hoặc tuyển dụng;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lập hồ sơ hoặc văn bản đề nghị cơ quan bảo hiểm xã hội: Giải quyết chế độ hưu trí trước 30 ngày, tính đến ngày người lao động đủ điều kiện nghỉ việc hưởng hưu trí; giải quyết chế độ tai nạn lao động, bệnh nghề nghiệp sau 30 ngày, kể từ ngày nhận đủ giấy tờ hợp lệ của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Không giới thiệu người lao động đi giám định suy giảm khả năng lao động tại Hội đồng Giám định y khoa để giải quyết chế độ bảo hiểm xã hội cho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4. Phạt tiền từ 20.000.000 đồng đến 30.000.000 đồng đối với người sử dụng lao động có hành vi sử dụng Quỹ bảo hiểm xã hội sai mục đích.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5. Biện pháp khắc phục hậu quả:</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Buộc trả đủ chế độ bảo hiểm xã hội cho người lao động đối với hành vi vi phạm quy định tại Điểm a và Điểm b Khoản 2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Buộc nộp lại lợi nhuận thu được từ việc sử dụng Quỹ bảo hiểm xã hội sai mục đích đối với hành vi vi phạm quy định tại Khoản 4 Điều này.</w:t>
      </w:r>
    </w:p>
    <w:p w:rsidR="00FA1C6E" w:rsidRPr="00FA1C6E" w:rsidRDefault="00FA1C6E" w:rsidP="00FA1C6E">
      <w:pPr>
        <w:spacing w:after="120" w:line="240" w:lineRule="auto"/>
        <w:ind w:firstLine="720"/>
        <w:jc w:val="both"/>
        <w:rPr>
          <w:rFonts w:eastAsia="Times New Roman" w:cs="Times New Roman"/>
          <w:szCs w:val="24"/>
          <w:lang w:eastAsia="vi-VN"/>
        </w:rPr>
      </w:pPr>
    </w:p>
    <w:p w:rsidR="00FA1C6E" w:rsidRPr="00FA1C6E" w:rsidRDefault="00FA1C6E" w:rsidP="00FA1C6E">
      <w:pPr>
        <w:spacing w:after="0" w:line="240" w:lineRule="auto"/>
        <w:jc w:val="center"/>
        <w:rPr>
          <w:rFonts w:eastAsia="Times New Roman" w:cs="Times New Roman"/>
          <w:szCs w:val="24"/>
          <w:lang w:eastAsia="vi-VN"/>
        </w:rPr>
      </w:pPr>
      <w:r w:rsidRPr="00FA1C6E">
        <w:rPr>
          <w:rFonts w:eastAsia="Times New Roman" w:cs="Times New Roman"/>
          <w:b/>
          <w:bCs/>
          <w:szCs w:val="24"/>
          <w:lang w:eastAsia="vi-VN"/>
        </w:rPr>
        <w:t>Chương 4.</w:t>
      </w:r>
    </w:p>
    <w:p w:rsidR="00FA1C6E" w:rsidRPr="00FA1C6E" w:rsidRDefault="00FA1C6E" w:rsidP="00FA1C6E">
      <w:pPr>
        <w:spacing w:after="0" w:line="240" w:lineRule="auto"/>
        <w:jc w:val="center"/>
        <w:rPr>
          <w:rFonts w:eastAsia="Times New Roman" w:cs="Times New Roman"/>
          <w:b/>
          <w:bCs/>
          <w:szCs w:val="24"/>
          <w:lang w:eastAsia="vi-VN"/>
        </w:rPr>
      </w:pPr>
      <w:r w:rsidRPr="00FA1C6E">
        <w:rPr>
          <w:rFonts w:eastAsia="Times New Roman" w:cs="Times New Roman"/>
          <w:b/>
          <w:bCs/>
          <w:szCs w:val="24"/>
          <w:lang w:eastAsia="vi-VN"/>
        </w:rPr>
        <w:t>HÀNH VI VI PHẠM, HÌNH THỨC XỬ PHẠT, MỨC XỬ PHẠT VÀ BIỆN PHÁP KHẮC PHỤC HẬU QUẢ ĐỐI VỚI HÀNH VI VI PHẠM TRONG LĨNH VỰC ĐƯA NGƯỜI LAO ĐỘNG VIỆT NAM ĐI LÀM VIỆC Ở NƯỚC NGOÀI THEO HỢP ĐỒNG</w:t>
      </w:r>
    </w:p>
    <w:p w:rsidR="00FA1C6E" w:rsidRPr="00FA1C6E" w:rsidRDefault="00FA1C6E" w:rsidP="00FA1C6E">
      <w:pPr>
        <w:spacing w:after="0" w:line="240" w:lineRule="auto"/>
        <w:jc w:val="center"/>
        <w:rPr>
          <w:rFonts w:eastAsia="Times New Roman" w:cs="Times New Roman"/>
          <w:szCs w:val="24"/>
          <w:lang w:eastAsia="vi-VN"/>
        </w:rPr>
      </w:pP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lastRenderedPageBreak/>
        <w:t>Điều 29. Vi phạm điều kiện hoạt động của doanh nghiệp dịch vụ</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tiền từ 5.000.000 đồng đến 10.000.000 đồng đối với doanh nghiệp dịch vụ hoạt động đưa người lao động đi làm việc ở nước ngoài theo hợp đồng (sau đây gọi là doanh nghiệp dịch vụ)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công bố Giấy phép hoạt động dịch vụ đưa người lao động đi làm việc ở nước ngoài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niêm yết công khai quyết định của doanh nghiệp dịch vụ giao nhiệm vụ cho chi nhánh và bản sao Giấy phép hoạt động dịch vụ đưa người lao động đi làm việc ở nước ngoài của doanh nghiệp dịch vụ tại trụ sở chi nhánh;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Sử dụng người lãnh đạo điều hành hoạt động đưa người lao động Việt Nam đi làm việc ở nước ngoài không có trình độ từ đại học trở lên;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Không báo cáo việc thay đổi người lãnh đạo điều hành hoạt động đưa người lao động Việt Nam đi làm việc ở nước ngoài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từ 20.000.000 đồng đến 40.000.000 đồng đối với doanh nghiệp dịch vụ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thông báo việc giao nhiệm vụ cho chi nhánh thực hiện hoạt động dịch vụ đưa người lao động Việt Nam đi làm việc ở nước ngoài theo quy định của pháp luật;</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Sử dụng người lãnh đạo điều hành hoạt động đưa người lao động đi làm việc ở nước ngoài không đủ 03 năm kinh nghiệm trong lĩnh vực đưa người lao động Việt Nam đi làm việc ở nước ngoài hoặc hoạt động trong lĩnh vực hợp tác và quan hệ quốc tế.</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Phạt tiền từ 50.000.000 đồng đến 70.000.000 đồng đối với doanh nghiệp dịch vụ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thực hiện phương án tổ chức bộ máy hoạt động đưa người lao động Việt Nam đi làm việc ở nước ngoài theo quy định trong thời hạn 30 ngày, kể từ ngày được cấp Giấy phép hoạt động dịch vụ đưa người lao động đi làm việc ở nước ngoài;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thực hiện phương án tổ chức bộ máy chuyên trách để bồi dưỡng kiến thức cần thiết cho người lao động Việt Nam trước khi đi làm việc ở nước ngoài trong thời hạn 90 ngày, kể từ ngày được cấp Giấy phép hoạt động dịch vụ đưa người lao động đi làm việc ở nước ngoài.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4. Phạt tiền từ 150.000.000 đồng đến 180.000.000 đồng đối với doanh nghiệp dịch vụ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Giao nhiệm vụ cho quá 03 chi nhánh ở các tỉnh, thành phố trực thuộc Trung ương;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Giao nhiệm vụ cho chi nhánh không đúng theo quy định của pháp luật;</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Chi nhánh doanh nghiệp dịch vụ thực hiện vượt quá phạm vi nhiệm vụ được giao về hoạt động đưa người lao động Việt Nam đi làm việc ở nước ngoài;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Ký kết các hợp đồng liên quan đến đưa người lao động đi làm việc ở nước ngoài; tuyển chọn lao động; dạy nghề, dạy ngoại ngữ, tổ chức bồi dưỡng kiến thức cần thiết cho người lao động; thu tiền của người lao động; đưa người lao động đi làm việc ở nước ngoài trong thời gian bị tạm đình chỉ, đình chỉ thực hiện hợp đồng cung ứng lao động, đình chỉ hoạt động có thời hạn hoặc sau khi đã nhận được thông báo về việc không được đổi Giấy phép hoạt động dịch vụ đưa người lao động đi làm việc ở nước ngoài.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5. Phạt tiền từ 180.000.000 đồng đến 200.000.000 đồng đối với doanh nghiệp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lastRenderedPageBreak/>
        <w:t>a) Sử dụng Giấy phép hoạt động dịch vụ đưa người lao động đi làm việc ở nước ngoài của doanh nghiệp khác để tổ chức đưa người lao động Việt Nam đi làm việc ở nước ngoài;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Cho tổ chức, cá nhân khác sử dụng Giấy phép hoạt động dịch vụ đưa người lao động đi làm việc ở nước ngoài của doanh nghiệp mình để đưa người lao động Việt Nam đi làm việc ở nước ngoài;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Giao nhiệm vụ điều hành hoạt động đưa người lao động Việt Nam đi làm việc ở nưóc ngoài cho người đã từng quản lý một doanh nghiệp dịch vụ khác bị thu hồi Giấy phép hoạt động dịch vụ đưa người lao động đi làm việc ở nước ngoài hoặc cho người đang trong thời gian bị kỷ luật từ hình thức cảnh cáo trở lên do vi phạm quy định của pháp luật về đưa người lao động Việt Nam đi làm việc ở nước ngoài.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6. Hình thức xử phạt bổ sung: Đình chỉ hoạt động đưa người lao động Việt Nam đi làm việc ở nước ngoài như sau:</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Từ 01 tháng đến 03 tháng đối với hành vi vi phạm quy định tại các Điểm a, Điểm b và Điểm c Khoản 4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Từ 04 tháng đến 06 tháng đối với hành vi vi phạm quy định tại Điểm d Khoản 4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30. Vi phạm quy định về đăng ký hợp đồng, báo cáo việc đưa người lao động đi làm việc ở nước ngoài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tiền từ 5.000.000 đồng đến 10.000.000 đồng đối với hành vi không báo cáo định kỳ, đột xuất về hoạt động đưa người lao động Việt Nam đi làm việc ở nước ngoài theo quy định của pháp luật.</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đối với hành vi đưa người lao động Việt Nam đi làm việc ở nước ngoài vượt quá số lượng người đã đăng ký theo Hợp đồng cung ứng lao động, Hợp đồng nhận lao động thực tập đã được cơ quan nhà nước có thẩm quyền chấp thuận theo các mức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Từ 20.000.000 đồng đến 40.000.000 đồng khi tỷ lệ vượt quá đến dưới 30%;</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Từ 60.000.000 đồng đến 100.000.000 đồng khi tỷ lệ vượt quá từ 30% đến dưới 50%;</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Từ 150.000.000 đồng đến 180.000.000 đồng khi tỷ lệ vượt quá 50%.</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Phạt tiền từ 150.000.000 đồng đến 180.000.000 đồng đối với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Đưa người lao động ra nước ngoài làm việc nhưng không đăng ký Hợp đồng cung ứng lao động, Hợp đồng nhận lao động thực tập hoặc đã đăng ký nhưng chưa được cơ quan nhà nước có thẩm quyền chấp thuận;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Doanh nghiệp nhận thầu, trúng thầu, tổ chức đầu tư ra nước ngoài có hành vi đưa người lao động Việt Nam ra nước ngoài làm việc mà không báo cáo hoặc đã báo cáo nhưng chưa được cơ quan nhà nước có thẩm quyền chấp thuận.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4. Hình thức xử phạt bổ sung: Đình chỉ hoạt động đưa người lao động Việt Nam đi làm việc ở nước ngoài từ 06 tháng đến 12 tháng đối với hành vi vi phạm quy định tại Khoản 3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31. Vi phạm quy định về tuyển chọn, ký kết và thanh lý hợp đồng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tiền từ 20.000.000 đồng đến 40.000.000 đồng đối với doanh nghiệp, tổ chức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lastRenderedPageBreak/>
        <w:t>a) Không thông báo công khai, cung cấp cho người lao động đầy đủ các thông tin về số lượng, tiêu chuẩn tuyển chọn và các điều kiện của hợp đồng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cam kết với người lao động về thời gian chờ xuất cảnh sau khi người lao động trúng tuyển đi làm việc ở nước ngoài;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Không trực tiếp tuyển chọn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từ 50.000.000 đồng đến 80.000.000 đồng đối với doanh nghiệp, tổ chức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ký hợp đồng với người lao động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ghi rõ các quyền và nghĩa vụ về tài chính trong hợp đồng ký với người lao động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Không thanh lý hoặc thanh lý hợp đồng đưa người lao động đi làm việc ở nước ngoài không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Nội dung hợp đồng đưa người lao động đi làm việc ở nước ngoài, Hợp đồng lao động, Hợp đồng thực tập không phù hợp với Hợp đồng cung ứng lao động, Hợp đồng nhận lao động thực tập đã đăng ký;</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đ) Nội dung hợp đồng giữa doanh nghiệp trúng thầu, nhận thầu, tổ chức đầu tư ra nước ngoài ký với người lao động, Hợp đồng lao động không phù hợp với báo cáo đưa người lao động Việt Nam đi làm việc ở nước ngoài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Hình thức xử phạt bổ sung: Đình chỉ việc thực hiện Hợp đồng cung ứng lao động từ 01 tháng đến 03 tháng đối với các hành vi vi phạm quy định tại Khoản 2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32. Vi phạm quy định về bồi dưỡng kỹ năng nghề, ngoại ngữ, kiến thức cần thiết cho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tiền từ 20.000.000 đồng đến 40.000.000 đồng đối với doanh nghiệp, tổ chức có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Thực hiện không đầy đủ việc bồi dưỡng kiến thức cần thiết cho người lao động trước khi đi làm việc ở nước ngoài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thực hiện hoặc thực hiện không đầy đủ việc kiểm tra và cấp chứng chỉ cho người lao động sau khi tham gia khóa bồi dưỡng kiến thức cần thiết;</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Không đăng ký mẫu chứng chỉ bồi dưỡng kiến thức cần thiết cấp cho người lao động Việt Nam đi làm việc ở nước ngoài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Không cấp tài liệu bồi dưỡng kiến thức cần thiết cho người lao động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từ 80.000.000 đồng đến 100.000.000 đồng đối với hành vi không tổ chức hoặc không liên kết với cơ sở dạy nghề, cơ sở đào tạo để bồi dưỡng kỹ năng nghề, ngoại ngữ cho người lao động đi làm việc ở nước ngoài theo yêu cầu của hợp đồng.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Phạt tiền từ 150.000.000 đồng đến 180.000.000 đồng đối với hành vi không thực hiện việc bồi dưỡng kiến thức cần thiết cho người lao động trước khi đi làm việc ở nước ngoài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4. Hình thức xử phạt bổ sung: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Đình chỉ việc thực hiện hợp đồng cung ứng lao động từ 03 tháng đến 06 tháng đối với hành vi vi phạm quy định tại Khoản 3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lastRenderedPageBreak/>
        <w:t>b) Đình chỉ việc thực hiện hợp đồng cung ứng lao động từ 07 tháng đến 12 tháng trong trường hợp sau khi bị tạm đình chỉ Hợp đồng cung ứng lao động quy định tại Điểm a Khoản này nhưng vẫn không khắc phục hậu quả do hành vi vi phạm gây ra.</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5. Biện pháp khắc phục hậu quả: Buộc bồi dưỡng kỹ năng nghề, ngoại ngữ, kiến thức cần thiết cho người lao động hoặc hoàn trả khoản tiền đào tạo đã thu của người lao động (nếu có).</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33. Vi phạm quy định về thu, nộp, quản lý, sử dụng tiền môi giới, tiền ký quỹ, tiền dịch vụ và các khoản tiền thu của người lao động; đóng Quỹ hỗ trợ việc làm ngoài nước</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tiền từ 20.000.000 đồng đến 40.000.000 đồng đối với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Thu tiền tuyển chọn của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thu tiền đóng góp của người lao động vào Quỹ hỗ trợ việc làm ngoài nước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Không cấp giấy chứng nhận tham gia Quỹ hỗ trợ việc làm ngoài nước cho người lao động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Không hướng dẫn và làm thủ tục cho người lao động được hỗ trợ từ Quỹ hỗ trợ việc làm ngoài nước hoặc không chuyển tiền hỗ trợ cho người lao động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đ) Nộp không đầy đủ số tiền đóng góp của người lao động vào Quỹ hỗ trợ việc làm ngoài nước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e) Đóng không đầy đủ vào Quỹ hỗ trợ việc làm ngoài nước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từ 80.000.000 đồng đến 100.000.000 đồng đối với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Thu, quản lý, sử dụng, hoàn trả tiền môi giới không đúng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Thu tiền dịch vụ của người lao động không đúng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Không hoàn trả hoặc hoàn trả không đầy đủ cho người lao động phần tiền dịch vụ theo tỷ lệ tương ứng với thời gian còn lại của Hợp đồng đưa người lao động đi làm việc ở nước ngoài trong trường hợp người lao động đã nộp tiền dịch vụ cho cả thời gian làm việc theo hợp đồng mà phải về nước trước thời hạn không do lỗi của người lao động;</w:t>
      </w:r>
    </w:p>
    <w:p w:rsidR="00FA1C6E" w:rsidRPr="00FA1C6E" w:rsidRDefault="00FA1C6E" w:rsidP="00FA1C6E">
      <w:pPr>
        <w:spacing w:after="120" w:line="240" w:lineRule="auto"/>
        <w:ind w:firstLine="720"/>
        <w:jc w:val="both"/>
        <w:rPr>
          <w:rFonts w:eastAsia="Times New Roman" w:cs="Times New Roman"/>
          <w:spacing w:val="6"/>
          <w:szCs w:val="24"/>
          <w:lang w:eastAsia="vi-VN"/>
        </w:rPr>
      </w:pPr>
      <w:r w:rsidRPr="00FA1C6E">
        <w:rPr>
          <w:rFonts w:eastAsia="Times New Roman" w:cs="Times New Roman"/>
          <w:spacing w:val="6"/>
          <w:szCs w:val="24"/>
          <w:lang w:eastAsia="vi-VN"/>
        </w:rPr>
        <w:t>d) Không nộp tiền đóng góp của người lao động vào Quỹ hỗ trợ việc làm ngoài nước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đ) Doanh nghiệp dịch vụ không đóng Quỹ hỗ trợ việc làm ngoài nước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Phạt tiền từ 150.000.000 đồng đến 200.000.000 đồng đối với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hoàn trả các khoản chi phí mà người lao động đã nộp cho doanh nghiệp dịch vụ do không đưa được người lao động đi làm việc ở nước ngoài;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Thu, quản lý, sử dụng tiền ký quỹ của người lao động không đúng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Không nộp bổ sung đủ, đúng hạn số tiền ký quỹ của doanh nghiệp dịch vụ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4. Hình thức xử phạt bổ sung: Đình chỉ hoạt động đưa người lao động Việt Nam đi làm việc ở nước ngoài như sau:</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lastRenderedPageBreak/>
        <w:t>a) Từ 01 tháng đến 03 tháng đối với hành vi vi phạm quy định tại Khoản 2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Từ 04 tháng đến 06 tháng đối với hành vi vi phạm quy định tại Điểm b và Điểm c Khoản 3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Từ 07 tháng đến 12 tháng đối với hành vi vi phạm quy định tại Điểm a Khoản 3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5. Biện pháp khắc phục hậu quả:</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Buộc đóng đủ tiền vào Quỹ hỗ trợ việc làm ngoài nước theo quy định đối với hành vi vi phạm quy định tại Điểm đ và Điểm e Khoản 1, Điểm d và Điểm đ Khoản 2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Buộc hoàn trả đủ tiền cho người lao động đối với hành vi vi phạm quy định tại Điểm c Khoản 2 và Điểm a Khoản 3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Buộc nộp số tiền ký quỹ theo đúng quy định đối với hành vi vi phạm quy định tại Điểm b và Điểm c Khoản 3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34. Vi phạm quy định về tổ chức đưa người lao động đi làm việc ở nước ngoài và quản lý người lao động ở ngoài nước</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tiền từ 20.000.000 đồng đến 40.000.000 đồng đối với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báo cáo danh sách lao động xuất cảnh với cơ quan đại diện ngoại giao, cơ quan lãnh sự Việt Nam ở nước ngoài theo quy định;</w:t>
      </w:r>
    </w:p>
    <w:p w:rsidR="00FA1C6E" w:rsidRPr="00FA1C6E" w:rsidRDefault="00FA1C6E" w:rsidP="00FA1C6E">
      <w:pPr>
        <w:spacing w:after="120" w:line="240" w:lineRule="auto"/>
        <w:ind w:firstLine="720"/>
        <w:jc w:val="both"/>
        <w:rPr>
          <w:rFonts w:eastAsia="Times New Roman" w:cs="Times New Roman"/>
          <w:spacing w:val="6"/>
          <w:szCs w:val="24"/>
          <w:lang w:eastAsia="vi-VN"/>
        </w:rPr>
      </w:pPr>
      <w:r w:rsidRPr="00FA1C6E">
        <w:rPr>
          <w:rFonts w:eastAsia="Times New Roman" w:cs="Times New Roman"/>
          <w:spacing w:val="6"/>
          <w:szCs w:val="24"/>
          <w:lang w:eastAsia="vi-VN"/>
        </w:rPr>
        <w:t>b) Không phối hợp với cơ quan đại diện ngoại giao, cơ quan lãnh sự Việt Nam ở nước ngoài trong việc quản lý và bảo vệ quyền lợi hợp pháp của người lao động trong thời gian làm việc ở nước ngoài.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từ 50.000.000 đồng đến 80.000.000 đồng đối với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Không tổ chức quản lý, bảo vệ quyền, lợi ích hợp pháp của người lao động do doanh nghiệp đưa đi làm việc ở nước ngoài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Không kịp thời giải quyết vấn đề phát sinh khi người lao động chết, bị tai nạn lao động, tai nạn rủi ro, bị bệnh nghề nghiệp, bị xâm hại tính mạng, sức khỏe, danh dự, nhân phẩm, tài sản và giải quyết tranh chấp liên quan đến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Phạt tiền từ 150.000.000 đồng đến 200.000.000 đồng đối với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Lợi dụng hoạt động đưa người lao động Việt Nam đi làm việc ở nước ngoài để tổ chức tư vấn, tuyển chọn, đào tạo, thu tiền của người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Lợi dụng hoạt động đưa người lao động Việt Nam đi làm việc ở nước ngoài để tổ chức đưa công dân Việt Nam ra nước ngoài không đúng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Đưa người lao động đi làm việc ở khu vực, ngành, nghề và công việc bị cấm hoặc không được nước tiếp nhận người lao động cho phép.</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4. Hình thức xử phạt bổ sung: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Đình chỉ hoạt động đưa người lao động Việt Nam đi làm việc ở nước ngoài từ 01 tháng đến 03 tháng đối với hành vi vi phạm quy định tại Khoản 2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Đình chỉ hoạt động đưa người lao động Việt Nam đi làm việc ở nước ngoài từ 06 tháng đến 12 tháng đối với hành vi vi phạm quy định tại Khoản 3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lastRenderedPageBreak/>
        <w:t>5. Biện pháp khắc phục hậu quả: Buộc đưa người lao động về nước theo yêu cầu của nước tiếp nhận người lao động hoặc của cơ quan nhà nước có thẩm quyền của Việt Nam đối với hành vi vi phạm quy định tại Khoản 2, Điểm c Khoản 3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35. Vi phạm của người lao động đi làm việc ở nước ngoài và một số đối tượng liên quan khác</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tiền từ 2.000.000 đồng đến 5.000.000 đồng đối với hành vi không đăng ký hợp đồng cá nhân tại cơ quan nhà nước có thẩm quyền theo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từ 80.000.000 đồng đến 100.000.000 đồng đối với một trong các hành vi sau đây: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Ở lại nước ngoài trái phép sau khi hết hạn Hợp đồng lao động, hết hạn cư trú;</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Bỏ trốn khỏi nơi đang làm việc theo hợp đồng;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Sau khi nhập cảnh nước tiếp nhận lao động mà không đến nơi làm việc theo hợp đồng;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Lôi kéo, dụ dỗ, ép buộc, lừa gạt người lao động Việt Nam ở lại nước ngoài trái quy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Biện pháp khắc phục hậu quả:</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Buộc về nước đối với hành vi vi phạm quy định tại các Điểm a, Điểm b và Điểm c Khoản 2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Cấm đi làm việc ở nước ngoài trong thời hạn 02 năm đối với hành vi vi phạm quy định tại Điểm a và Điểm b Khoản 2 Điều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Cấm đi làm việc ở nước ngoài trong thời hạn 05 năm đối với hành vi vi phạm quy định tại Điểm c và Điểm d Khoản 2 Điều này.</w:t>
      </w:r>
    </w:p>
    <w:p w:rsidR="00FA1C6E" w:rsidRPr="00FA1C6E" w:rsidRDefault="00FA1C6E" w:rsidP="00FA1C6E">
      <w:pPr>
        <w:spacing w:after="120" w:line="240" w:lineRule="auto"/>
        <w:ind w:firstLine="720"/>
        <w:jc w:val="both"/>
        <w:rPr>
          <w:rFonts w:eastAsia="Times New Roman" w:cs="Times New Roman"/>
          <w:szCs w:val="24"/>
          <w:lang w:eastAsia="vi-VN"/>
        </w:rPr>
      </w:pPr>
    </w:p>
    <w:p w:rsidR="00FA1C6E" w:rsidRPr="00FA1C6E" w:rsidRDefault="00FA1C6E" w:rsidP="00FA1C6E">
      <w:pPr>
        <w:spacing w:after="0" w:line="240" w:lineRule="auto"/>
        <w:jc w:val="center"/>
        <w:rPr>
          <w:rFonts w:eastAsia="Times New Roman" w:cs="Times New Roman"/>
          <w:szCs w:val="24"/>
          <w:lang w:eastAsia="vi-VN"/>
        </w:rPr>
      </w:pPr>
      <w:r w:rsidRPr="00FA1C6E">
        <w:rPr>
          <w:rFonts w:eastAsia="Times New Roman" w:cs="Times New Roman"/>
          <w:b/>
          <w:bCs/>
          <w:szCs w:val="24"/>
          <w:lang w:eastAsia="vi-VN"/>
        </w:rPr>
        <w:t>Chương 5.</w:t>
      </w:r>
    </w:p>
    <w:p w:rsidR="00FA1C6E" w:rsidRPr="00FA1C6E" w:rsidRDefault="00FA1C6E" w:rsidP="00FA1C6E">
      <w:pPr>
        <w:spacing w:after="0" w:line="240" w:lineRule="auto"/>
        <w:jc w:val="center"/>
        <w:rPr>
          <w:rFonts w:eastAsia="Times New Roman" w:cs="Times New Roman"/>
          <w:b/>
          <w:bCs/>
          <w:szCs w:val="24"/>
          <w:lang w:eastAsia="vi-VN"/>
        </w:rPr>
      </w:pPr>
      <w:r w:rsidRPr="00FA1C6E">
        <w:rPr>
          <w:rFonts w:eastAsia="Times New Roman" w:cs="Times New Roman"/>
          <w:b/>
          <w:bCs/>
          <w:szCs w:val="24"/>
          <w:lang w:eastAsia="vi-VN"/>
        </w:rPr>
        <w:t>THẨM QUYỀN, THỦ TỤC XỬ PHẠT VI PHẠM HÀNH CHÍNH</w:t>
      </w:r>
    </w:p>
    <w:p w:rsidR="00FA1C6E" w:rsidRPr="00FA1C6E" w:rsidRDefault="00FA1C6E" w:rsidP="00FA1C6E">
      <w:pPr>
        <w:spacing w:after="0" w:line="240" w:lineRule="auto"/>
        <w:jc w:val="center"/>
        <w:rPr>
          <w:rFonts w:eastAsia="Times New Roman" w:cs="Times New Roman"/>
          <w:szCs w:val="24"/>
          <w:lang w:eastAsia="vi-VN"/>
        </w:rPr>
      </w:pP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MỤC 1. THẨM QUYỀN XỬ PHẠT</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36. Thẩm quyền xử phạt của Chủ tịch Ủy ban nhân dân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Chủ tịch Ủy ban nhân dân cấp xã có quyền: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Phạt cảnh cáo;</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Phạt tiền đến 5.000.000 đồng.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Chủ tịch Ủy ban nhân dân cấp huyện có quyền: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Phạt cảnh cáo;</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Phạt tiền đến 37.500.000 đồng đối với hành vi vi phạm hành chính trong lĩnh vực lao động, bảo hiểm xã hội;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Áp dụng hình thức xử phạt bổ sung quy định tại Chương II và Chương III của Nghị định này;</w:t>
      </w:r>
    </w:p>
    <w:p w:rsidR="00FA1C6E" w:rsidRPr="00FA1C6E" w:rsidRDefault="00FA1C6E" w:rsidP="00FA1C6E">
      <w:pPr>
        <w:spacing w:after="120" w:line="240" w:lineRule="auto"/>
        <w:ind w:firstLine="720"/>
        <w:jc w:val="both"/>
        <w:rPr>
          <w:rFonts w:eastAsia="Times New Roman" w:cs="Times New Roman"/>
          <w:spacing w:val="6"/>
          <w:szCs w:val="24"/>
          <w:lang w:eastAsia="vi-VN"/>
        </w:rPr>
      </w:pPr>
      <w:r w:rsidRPr="00FA1C6E">
        <w:rPr>
          <w:rFonts w:eastAsia="Times New Roman" w:cs="Times New Roman"/>
          <w:spacing w:val="6"/>
          <w:szCs w:val="24"/>
          <w:lang w:eastAsia="vi-VN"/>
        </w:rPr>
        <w:t>d) Áp dụng biện pháp khắc phục hậu quả quy định tại Chương II và Chương III của Nghị định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Chủ tịch Ủy ban nhân dân cấp tỉnh có quyền: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lastRenderedPageBreak/>
        <w:t>a) Phạt cảnh cáo;</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Phạt tiền đến 75.000.000 đồng đối với hành vi vi phạm hành chính trong lĩnh vực lao động, bảo hiểm xã hội và đến 100.000.000 đồng đối với hành vi vi phạm hành chính trong lĩnh vực đưa người lao động Việt Nam đi làm việc ở nước ngoài theo hợp đồng;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Áp dụng hình thức xử phạt bổ sung quy định tại Chương II, Chương III và Chương IV của Nghị định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Áp dụng biện pháp khắc phục hậu quả quy định tại Chương II, Chương III và Chương IV của Nghị định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37. Thẩm quyền xử phạt của Thanh tra lao động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Thanh tra viên lao động, người được giao nhiệm vụ thực hiện nhiệm vụ thanh tra chuyên ngành đang thi hành công vụ có quyền: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Phạt cảnh cáo;</w:t>
      </w:r>
    </w:p>
    <w:p w:rsidR="00FA1C6E" w:rsidRPr="00FA1C6E" w:rsidRDefault="00FA1C6E" w:rsidP="00FA1C6E">
      <w:pPr>
        <w:spacing w:after="120" w:line="240" w:lineRule="auto"/>
        <w:ind w:firstLine="720"/>
        <w:jc w:val="both"/>
        <w:rPr>
          <w:rFonts w:eastAsia="Times New Roman" w:cs="Times New Roman"/>
          <w:szCs w:val="24"/>
          <w:lang w:eastAsia="vi-VN"/>
        </w:rPr>
      </w:pPr>
      <w:bookmarkStart w:id="1" w:name="bookmark1"/>
      <w:r w:rsidRPr="00FA1C6E">
        <w:rPr>
          <w:rFonts w:eastAsia="Times New Roman" w:cs="Times New Roman"/>
          <w:szCs w:val="24"/>
          <w:lang w:eastAsia="vi-VN"/>
        </w:rPr>
        <w:t xml:space="preserve">b) </w:t>
      </w:r>
      <w:bookmarkEnd w:id="1"/>
      <w:r w:rsidRPr="00FA1C6E">
        <w:rPr>
          <w:rFonts w:eastAsia="Times New Roman" w:cs="Times New Roman"/>
          <w:szCs w:val="24"/>
          <w:lang w:eastAsia="vi-VN"/>
        </w:rPr>
        <w:t>Phạt tiền đến 500.000 đồng.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Chánh Thanh tra Sở Lao động - Thương binh và Xã hội có quyền: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Phạt cảnh cáo;</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Phạt tiền đến 37.500.000 đồng đối với hành vi vi phạm hành chính trong lĩnh vực lao động, bảo hiểm xã hội và đến 50.000.000 đồng đối với hành vi vi phạm hành chính trong lĩnh vực đưa người lao động Việt Nam đi làm việc ở nước ngoài theo hợp đồng;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Áp dụng hình thức xử phạt bổ sung quy định tại Chương II, Chương III và Chương IV của Nghị định;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Áp dụng biện pháp khắc phục hậu quả quy định tại Chương II, Chương III và Chương IV của Nghị định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Chánh thanh tra Bộ Lao động - Thương binh và Xã hội có quyền: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Phạt cảnh cáo;</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Phạt tiền đến 75.000.000 đồng đối với hành vi vi phạm hành chính trong lĩnh vực lao động, bảo hiểm xã hội và đến 100.000.000 đồng đối với hành vi vi phạm hành chính trong lĩnh vực đưa người lao động Việt Nam đi làm việc ở nước ngoài theo hợp đồng;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Áp dụng hình thức xử phạt bổ sung quy định tại Chương II, Chương III và Chương IV của Nghị định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Áp dụng biện pháp khắc phục hậu quả quy định tại Chương II, Chương III và Chương IV của Nghị định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4. Trưởng đoàn thanh tra lao động cấp Bộ có quyền: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Phạt cảnh cáo;</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Phạt tiền đến 52.500.000 đồng đối với hành vi vi phạm hành chính trong lĩnh vực lao động, bảo hiểm xã hội và đến 70.000.000 đồng đối với hành vi vi phạm hành chính trong lĩnh vực đưa người lao động Việt Nam đi làm việc ở nước ngoài theo hợp đồng;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Áp dụng hình thức xử phạt bổ sung quy định tại Chương II, Chương III và Chương IV của Nghị định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Áp dụng biện pháp khắc phục hậu quả quy định tại Chương II, Chương III và Chương IV của Nghị định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lastRenderedPageBreak/>
        <w:t>5. Trưởng đoàn thanh tra lao động cấp Sở, trưởng đoàn thanh tra chuyên ngành của cơ quan quản lý nhà nước được giao thực hiện chức năng thanh tra chuyên ngành có quyền:</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Phạt cảnh cáo;</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Phạt tiền đến 37.500.000 đồng đối với hành vi vi phạm hành chính trong lĩnh vực lao động, bảo hiểm xã hội và đến 50.000.000 đồng đối với hành vi vi phạm hành chính trong lĩnh vực đưa người lao động Việt Nam đi làm việc ở nước ngoài theo hợp đồng;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Áp dụng hình thức xử phạt bổ sung quy định tại Chương II, Chương III và Chương IV của Nghị định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d) Áp dụng biện pháp khắc phục hậu quả quy định tại Chương II, Chương III và Chương IV của Nghị định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38. Thẩm quyền xử phạt của Cục trưởng Cục quản lý lao động ngoài nước</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Cục trưởng Cục quản lý lao động ngoài nước có quyền xử phạt hành vi vi phạm hành chính quy định tại Chương IV của Nghị định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Phạt cảnh cáo;</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Phạt tiền đến 100.000.000 đồng;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Áp dụng hình thức xử phạt bổ sung quy định tại Chương IV của Nghị định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4. Áp dụng biện pháp khắc phục hậu quả quy định tại Chương IV của Nghị định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39. Thẩm quyền xử phạt của các cơ quan khác</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Người đứng đầu cơ quan đại diện ngoại giao, cơ quan lãnh sự, cơ quan khác được ủy quyền thực hiện chức năng lãnh sự của nước Cộng hòa xã hội chủ nghĩa Việt Nam ở nước ngoài có quyền xử phạt các hành vi vi phạm hành chính quy định tại Chương IV của Nghị định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a) Phạt cảnh cáo;</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b) Phạt tiền đến 100.000.000 đồng;</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c) Áp dụng biện pháp khắc phục hậu quả buộc đưa người lao động về nước theo yêu cầu của nước tiếp nhận người lao động hoặc của cơ quan nhà nước có thẩm quyền của Việt Nam quy định tại Chương IV của Nghị định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Cục trưởng Cục xuất nhập cảnh, Giám đốc công an cấp tỉnh thành phố trực thuộc Trung ương có quyền quyết định áp dụng biện pháp trục xuất theo quy định tại Khoản 1 Điều 22 Nghị định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3. Ngoài những người có thẩm quyền xử phạt quy định tại các Điều 36, Điều 37 và Điều 38 và Khoản 1 và Khoản 2 Điều này, những người có thẩm quyền xử phạt vi phạm hành chính của các cơ quan khác theo quy định của Luật xử lý vi phạm hành chính trong phạm vi chức năng, nhiệm vụ được giao, nếu phát hiện thấy các hành vi vi phạm quy định trong Nghị định này thuộc lĩnh vực hoặc địa bàn quản lý của mình có quyền xử phạt theo đúng quy định tại Điều 52 của Luật xử lý vi phạm hành chính.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MỤC 2. THỦ TỤC XỬ PHẠT</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40. Lập biên bản xử lý vi phạm</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Khi phát hiện vi phạm hành chính, người có thẩm quyền xử phạt, công chức, viên chức đang thi hành công vụ, nhiệm vụ được giao phải kịp thời lập biên bản và thực hiện theo quy định tại Điều 58 của Luật xử lý vi phạm hành chính.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lastRenderedPageBreak/>
        <w:t>Điều 41. Thủ tục phạt tiền đối với hành vi vi phạm hành chính trong hoạt động đưa người lao động đi làm việc ở nước ngoài thực hiện ngoài lãnh thổ Việt Nam</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Người lao động bị phạt tiền ở nước ngoài có thể nộp tiền phạt tại cơ quan đại diện ngoại giao, cơ quan lãnh sự Việt Nam ở nước ngoài.</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Tiền phạt được thu bằng đô la Mỹ hoặc bằng tiền của nước mà người lao động vi phạm làm việc hoặc bằng tiền đồng Việt Nam.</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Trường hợp thu bằng đô la Mỹ thì áp dụng tỷ giá giao dịch bình quân trên thị trường ngoại tệ liên ngân hàng của đô la Mỹ so với đồng Việt Nam do Ngân hàng Nhà nước Việt Nam công bố tại thời điểm thu tiền phạt.</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Trường hợp thu bằng tiền của nước mà người lao động vi phạm làm việc thì áp dụng tỷ giá quy đổi từ đô la Mỹ theo tỷ giá ngân hàng nước sở tại công bố tại thời điểm thu tiền phạt hoặc theo tỷ giá ngân hàng nơi cơ quan đại diện ngoại giao, cơ quan lãnh sự Việt Nam ở nước sở tại mở tài khoản Quỹ tạm giữ của ngân sách nhà nước và được giữ ổn định trong thời gian 06 tháng.</w:t>
      </w:r>
    </w:p>
    <w:p w:rsidR="00FA1C6E" w:rsidRPr="00FA1C6E" w:rsidRDefault="00FA1C6E" w:rsidP="00FA1C6E">
      <w:pPr>
        <w:spacing w:after="120" w:line="240" w:lineRule="auto"/>
        <w:ind w:firstLine="720"/>
        <w:jc w:val="both"/>
        <w:rPr>
          <w:rFonts w:eastAsia="Times New Roman" w:cs="Times New Roman"/>
          <w:szCs w:val="24"/>
          <w:lang w:eastAsia="vi-VN"/>
        </w:rPr>
      </w:pPr>
    </w:p>
    <w:p w:rsidR="00FA1C6E" w:rsidRPr="00FA1C6E" w:rsidRDefault="00FA1C6E" w:rsidP="00FA1C6E">
      <w:pPr>
        <w:spacing w:after="0" w:line="240" w:lineRule="auto"/>
        <w:jc w:val="center"/>
        <w:rPr>
          <w:rFonts w:eastAsia="Times New Roman" w:cs="Times New Roman"/>
          <w:szCs w:val="24"/>
          <w:lang w:eastAsia="vi-VN"/>
        </w:rPr>
      </w:pPr>
      <w:r w:rsidRPr="00FA1C6E">
        <w:rPr>
          <w:rFonts w:eastAsia="Times New Roman" w:cs="Times New Roman"/>
          <w:b/>
          <w:bCs/>
          <w:szCs w:val="24"/>
          <w:lang w:eastAsia="vi-VN"/>
        </w:rPr>
        <w:t>Chương 6.</w:t>
      </w:r>
    </w:p>
    <w:p w:rsidR="00FA1C6E" w:rsidRPr="00FA1C6E" w:rsidRDefault="00FA1C6E" w:rsidP="00FA1C6E">
      <w:pPr>
        <w:spacing w:after="0" w:line="240" w:lineRule="auto"/>
        <w:jc w:val="center"/>
        <w:rPr>
          <w:rFonts w:eastAsia="Times New Roman" w:cs="Times New Roman"/>
          <w:b/>
          <w:bCs/>
          <w:szCs w:val="24"/>
          <w:lang w:eastAsia="vi-VN"/>
        </w:rPr>
      </w:pPr>
      <w:r w:rsidRPr="00FA1C6E">
        <w:rPr>
          <w:rFonts w:eastAsia="Times New Roman" w:cs="Times New Roman"/>
          <w:b/>
          <w:bCs/>
          <w:szCs w:val="24"/>
          <w:lang w:eastAsia="vi-VN"/>
        </w:rPr>
        <w:t>ĐIỀU KHOẢN THI HÀNH</w:t>
      </w:r>
    </w:p>
    <w:p w:rsidR="00FA1C6E" w:rsidRPr="00FA1C6E" w:rsidRDefault="00FA1C6E" w:rsidP="00FA1C6E">
      <w:pPr>
        <w:spacing w:after="0" w:line="240" w:lineRule="auto"/>
        <w:jc w:val="center"/>
        <w:rPr>
          <w:rFonts w:eastAsia="Times New Roman" w:cs="Times New Roman"/>
          <w:szCs w:val="24"/>
          <w:lang w:eastAsia="vi-VN"/>
        </w:rPr>
      </w:pP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42. Hiệu lực thi hành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Nghị định này có hiệu lực thi hành kể từ ngày 10 tháng 10 năm 2013.</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Nghị định số 47/2010/NĐ-CP ngày 06 tháng 5 năm 2010 của Chính phủ quy định xử phạt hành chính về hành vi vi phạm pháp luật lao động; Nghị định số 86/2010/NĐ-CP ngày 13 tháng 8 năm 2010 của Chính phủ quy định xử phạt vi phạm hành chính trong lĩnh vực bảo hiểm xã hội và Nghị định số 144/2007/NĐ-CP ngày 10 tháng 9 năm 2007 của Chính phủ quy định xử phạt vi phạm hành chính trong hoạt động đưa người lao động Việt Nam đi làm việc ở nước ngoài theo hợp đồng hết hiệu lực thi hành kể từ ngày Nghị định này có hiệu lực.</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43. Điều khoản chuyển tiếp</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Các hành vi vi phạm xảy ra trước ngày 01 tháng 7 năm 2013 mà sau đó mới bị phát hiện hoặc đang xem xét, giải quyết thì áp dụng các quy định về xử phạt tại Nghị định này nếu có lợi cho cá nhân, tổ chức vi phạm hành chính. Đối với người lao động Việt Nam ở nước ngoài có hành vi bỏ trốn khỏi nơi đang làm việc theo hợp đồng hoặc ở lại nước ngoài trái phép sau khi hết hạn Hợp đồng lao động xảy ra trước ngày Nghị định này có hiệu lực mà tự nguyện về nước trong thời gian 03 tháng, kể từ ngày Nghị định này có hiệu lực thi hành thì không áp dụng quy định tại Điều 35 Nghị định này.</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2. Đối với quyết định xử phạt vi phạm hành chính đã được ban hành hoặc đã được thi hành xong trước ngày 01 tháng 7 năm 2013 mà cá nhân, tổ chức bị xử phạt vi phạm hoặc cá nhân bị áp dụng biện pháp xử lý hành chính còn khiếu nại thì áp dụng quy định của Pháp lệnh xử lý vi phạm hành chính để giải quyết.</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b/>
          <w:bCs/>
          <w:szCs w:val="24"/>
          <w:lang w:eastAsia="vi-VN"/>
        </w:rPr>
        <w:t>Điều 44. Trách nhiệm hướng dẫn và thi hành</w:t>
      </w:r>
    </w:p>
    <w:p w:rsidR="00FA1C6E" w:rsidRPr="00FA1C6E" w:rsidRDefault="00FA1C6E" w:rsidP="00FA1C6E">
      <w:pPr>
        <w:spacing w:after="120" w:line="240" w:lineRule="auto"/>
        <w:ind w:firstLine="720"/>
        <w:jc w:val="both"/>
        <w:rPr>
          <w:rFonts w:eastAsia="Times New Roman" w:cs="Times New Roman"/>
          <w:szCs w:val="24"/>
          <w:lang w:eastAsia="vi-VN"/>
        </w:rPr>
      </w:pPr>
      <w:r w:rsidRPr="00FA1C6E">
        <w:rPr>
          <w:rFonts w:eastAsia="Times New Roman" w:cs="Times New Roman"/>
          <w:szCs w:val="24"/>
          <w:lang w:eastAsia="vi-VN"/>
        </w:rPr>
        <w:t>1. Bộ trưởng Bộ Lao động - Thương binh và Xã hội có trách nhiệm hướng dẫn, kiểm tra việc thi hành Nghị định này.</w:t>
      </w:r>
    </w:p>
    <w:p w:rsidR="00FA1C6E" w:rsidRPr="00FA1C6E" w:rsidRDefault="00FA1C6E" w:rsidP="00FA1C6E">
      <w:pPr>
        <w:spacing w:after="0" w:line="240" w:lineRule="auto"/>
        <w:ind w:firstLine="720"/>
        <w:jc w:val="both"/>
        <w:rPr>
          <w:rFonts w:eastAsia="Times New Roman" w:cs="Times New Roman"/>
          <w:szCs w:val="24"/>
          <w:lang w:eastAsia="vi-VN"/>
        </w:rPr>
      </w:pPr>
      <w:r w:rsidRPr="00FA1C6E">
        <w:rPr>
          <w:rFonts w:eastAsia="Times New Roman" w:cs="Times New Roman"/>
          <w:szCs w:val="24"/>
          <w:lang w:eastAsia="vi-VN"/>
        </w:rPr>
        <w:t>2. Các Bộ trưởng, Thủ trưởng cơ quan ngang Bộ, Thủ trưởng cơ quan thuộc Chính phủ, Chủ tịch Ủy ban nhân dân tỉnh, thành phố trực thuộc Trung ương chịu trách nhiệm thi hành Nghị định này./.</w:t>
      </w:r>
    </w:p>
    <w:p w:rsidR="00FA1C6E" w:rsidRPr="00FA1C6E" w:rsidRDefault="00FA1C6E" w:rsidP="00FA1C6E">
      <w:pPr>
        <w:spacing w:after="0" w:line="240" w:lineRule="auto"/>
        <w:rPr>
          <w:rFonts w:eastAsia="Times New Roman" w:cs="Times New Roman"/>
          <w:szCs w:val="24"/>
          <w:lang w:eastAsia="vi-VN"/>
        </w:rPr>
      </w:pPr>
      <w:r w:rsidRPr="00FA1C6E">
        <w:rPr>
          <w:rFonts w:eastAsia="Times New Roman" w:cs="Times New Roman"/>
          <w:szCs w:val="24"/>
          <w:lang w:eastAsia="vi-VN"/>
        </w:rPr>
        <w:lastRenderedPageBreak/>
        <w:t> </w:t>
      </w:r>
    </w:p>
    <w:tbl>
      <w:tblPr>
        <w:tblW w:w="0" w:type="auto"/>
        <w:tblInd w:w="108" w:type="dxa"/>
        <w:tblCellMar>
          <w:left w:w="0" w:type="dxa"/>
          <w:right w:w="0" w:type="dxa"/>
        </w:tblCellMar>
        <w:tblLook w:val="04A0" w:firstRow="1" w:lastRow="0" w:firstColumn="1" w:lastColumn="0" w:noHBand="0" w:noVBand="1"/>
      </w:tblPr>
      <w:tblGrid>
        <w:gridCol w:w="4117"/>
        <w:gridCol w:w="4801"/>
      </w:tblGrid>
      <w:tr w:rsidR="00FA1C6E" w:rsidRPr="00FA1C6E" w:rsidTr="00FA1C6E">
        <w:tc>
          <w:tcPr>
            <w:tcW w:w="4320" w:type="dxa"/>
            <w:tcMar>
              <w:top w:w="0" w:type="dxa"/>
              <w:left w:w="108" w:type="dxa"/>
              <w:bottom w:w="0" w:type="dxa"/>
              <w:right w:w="108" w:type="dxa"/>
            </w:tcMar>
            <w:hideMark/>
          </w:tcPr>
          <w:p w:rsidR="00FA1C6E" w:rsidRPr="00FA1C6E" w:rsidRDefault="00FA1C6E" w:rsidP="00FA1C6E">
            <w:pPr>
              <w:spacing w:after="0" w:line="240" w:lineRule="auto"/>
              <w:rPr>
                <w:rFonts w:eastAsia="Times New Roman" w:cs="Times New Roman"/>
                <w:spacing w:val="6"/>
                <w:szCs w:val="24"/>
                <w:lang w:eastAsia="vi-VN"/>
              </w:rPr>
            </w:pPr>
            <w:r w:rsidRPr="00FA1C6E">
              <w:rPr>
                <w:rFonts w:eastAsia="Times New Roman" w:cs="Times New Roman"/>
                <w:spacing w:val="6"/>
                <w:szCs w:val="24"/>
                <w:lang w:eastAsia="vi-VN"/>
              </w:rPr>
              <w:t> </w:t>
            </w:r>
            <w:r w:rsidRPr="00FA1C6E">
              <w:rPr>
                <w:rFonts w:eastAsia="Times New Roman" w:cs="Times New Roman"/>
                <w:b/>
                <w:bCs/>
                <w:i/>
                <w:iCs/>
                <w:spacing w:val="6"/>
                <w:szCs w:val="24"/>
                <w:lang w:eastAsia="vi-VN"/>
              </w:rPr>
              <w:t>Nơi nhận:</w:t>
            </w:r>
            <w:r w:rsidRPr="00FA1C6E">
              <w:rPr>
                <w:rFonts w:eastAsia="Times New Roman" w:cs="Times New Roman"/>
                <w:b/>
                <w:bCs/>
                <w:i/>
                <w:iCs/>
                <w:spacing w:val="6"/>
                <w:szCs w:val="24"/>
                <w:lang w:eastAsia="vi-VN"/>
              </w:rPr>
              <w:br/>
            </w:r>
            <w:r w:rsidRPr="00FA1C6E">
              <w:rPr>
                <w:rFonts w:eastAsia="Times New Roman" w:cs="Times New Roman"/>
                <w:spacing w:val="6"/>
                <w:szCs w:val="24"/>
                <w:lang w:eastAsia="vi-VN"/>
              </w:rPr>
              <w:t>- Ban Bí thư Trung ương Đảng;</w:t>
            </w:r>
            <w:r w:rsidRPr="00FA1C6E">
              <w:rPr>
                <w:rFonts w:eastAsia="Times New Roman" w:cs="Times New Roman"/>
                <w:spacing w:val="6"/>
                <w:szCs w:val="24"/>
                <w:lang w:eastAsia="vi-VN"/>
              </w:rPr>
              <w:br/>
              <w:t>- Thủ tướng, các Phó Thủ tướng Chính phủ;</w:t>
            </w:r>
            <w:r w:rsidRPr="00FA1C6E">
              <w:rPr>
                <w:rFonts w:eastAsia="Times New Roman" w:cs="Times New Roman"/>
                <w:spacing w:val="6"/>
                <w:szCs w:val="24"/>
                <w:lang w:eastAsia="vi-VN"/>
              </w:rPr>
              <w:br/>
              <w:t>- Các Bộ, cơ quan ngang Bộ, cơ quan thuộc CP;</w:t>
            </w:r>
            <w:r w:rsidRPr="00FA1C6E">
              <w:rPr>
                <w:rFonts w:eastAsia="Times New Roman" w:cs="Times New Roman"/>
                <w:spacing w:val="6"/>
                <w:szCs w:val="24"/>
                <w:lang w:eastAsia="vi-VN"/>
              </w:rPr>
              <w:br/>
              <w:t>- HĐND, UBND các tỉnh, TP trực thuộc TW;</w:t>
            </w:r>
            <w:r w:rsidRPr="00FA1C6E">
              <w:rPr>
                <w:rFonts w:eastAsia="Times New Roman" w:cs="Times New Roman"/>
                <w:spacing w:val="6"/>
                <w:szCs w:val="24"/>
                <w:lang w:eastAsia="vi-VN"/>
              </w:rPr>
              <w:br/>
              <w:t>- Văn phòng TW và các Ban của Đảng;</w:t>
            </w:r>
            <w:r w:rsidRPr="00FA1C6E">
              <w:rPr>
                <w:rFonts w:eastAsia="Times New Roman" w:cs="Times New Roman"/>
                <w:spacing w:val="6"/>
                <w:szCs w:val="24"/>
                <w:lang w:eastAsia="vi-VN"/>
              </w:rPr>
              <w:br/>
              <w:t>- Văn phòng Tổng Bí thư;</w:t>
            </w:r>
            <w:r w:rsidRPr="00FA1C6E">
              <w:rPr>
                <w:rFonts w:eastAsia="Times New Roman" w:cs="Times New Roman"/>
                <w:spacing w:val="6"/>
                <w:szCs w:val="24"/>
                <w:lang w:eastAsia="vi-VN"/>
              </w:rPr>
              <w:br/>
              <w:t>- Văn phòng Chủ tịch nước;</w:t>
            </w:r>
            <w:r w:rsidRPr="00FA1C6E">
              <w:rPr>
                <w:rFonts w:eastAsia="Times New Roman" w:cs="Times New Roman"/>
                <w:spacing w:val="6"/>
                <w:szCs w:val="24"/>
                <w:lang w:eastAsia="vi-VN"/>
              </w:rPr>
              <w:br/>
              <w:t>- Hội đồng Dân tộc và các UB của Quốc hội;</w:t>
            </w:r>
            <w:r w:rsidRPr="00FA1C6E">
              <w:rPr>
                <w:rFonts w:eastAsia="Times New Roman" w:cs="Times New Roman"/>
                <w:spacing w:val="6"/>
                <w:szCs w:val="24"/>
                <w:lang w:eastAsia="vi-VN"/>
              </w:rPr>
              <w:br/>
              <w:t>- Văn phòng Quốc hội;</w:t>
            </w:r>
            <w:r w:rsidRPr="00FA1C6E">
              <w:rPr>
                <w:rFonts w:eastAsia="Times New Roman" w:cs="Times New Roman"/>
                <w:spacing w:val="6"/>
                <w:szCs w:val="24"/>
                <w:lang w:eastAsia="vi-VN"/>
              </w:rPr>
              <w:br/>
              <w:t>- Tòa án nhân dân tối cao;</w:t>
            </w:r>
            <w:r w:rsidRPr="00FA1C6E">
              <w:rPr>
                <w:rFonts w:eastAsia="Times New Roman" w:cs="Times New Roman"/>
                <w:spacing w:val="6"/>
                <w:szCs w:val="24"/>
                <w:lang w:eastAsia="vi-VN"/>
              </w:rPr>
              <w:br/>
              <w:t>- Viện kiểm sát nhân dân tối cao;</w:t>
            </w:r>
            <w:r w:rsidRPr="00FA1C6E">
              <w:rPr>
                <w:rFonts w:eastAsia="Times New Roman" w:cs="Times New Roman"/>
                <w:spacing w:val="6"/>
                <w:szCs w:val="24"/>
                <w:lang w:eastAsia="vi-VN"/>
              </w:rPr>
              <w:br/>
              <w:t>- UB Giám sát tài chính Quốc gia;</w:t>
            </w:r>
            <w:r w:rsidRPr="00FA1C6E">
              <w:rPr>
                <w:rFonts w:eastAsia="Times New Roman" w:cs="Times New Roman"/>
                <w:spacing w:val="6"/>
                <w:szCs w:val="24"/>
                <w:lang w:eastAsia="vi-VN"/>
              </w:rPr>
              <w:br/>
              <w:t>- Kiểm toán Nhà nước;</w:t>
            </w:r>
            <w:r w:rsidRPr="00FA1C6E">
              <w:rPr>
                <w:rFonts w:eastAsia="Times New Roman" w:cs="Times New Roman"/>
                <w:spacing w:val="6"/>
                <w:szCs w:val="24"/>
                <w:lang w:eastAsia="vi-VN"/>
              </w:rPr>
              <w:br/>
              <w:t>- Ngân hàng Chính sách xã hội;</w:t>
            </w:r>
            <w:r w:rsidRPr="00FA1C6E">
              <w:rPr>
                <w:rFonts w:eastAsia="Times New Roman" w:cs="Times New Roman"/>
                <w:spacing w:val="6"/>
                <w:szCs w:val="24"/>
                <w:lang w:eastAsia="vi-VN"/>
              </w:rPr>
              <w:br/>
              <w:t>- Ngân hàng Phát triển Việt Nam;</w:t>
            </w:r>
            <w:r w:rsidRPr="00FA1C6E">
              <w:rPr>
                <w:rFonts w:eastAsia="Times New Roman" w:cs="Times New Roman"/>
                <w:spacing w:val="6"/>
                <w:szCs w:val="24"/>
                <w:lang w:eastAsia="vi-VN"/>
              </w:rPr>
              <w:br/>
              <w:t>- Ủy ban TW Mặt trận Tổ quốc Việt Nam;</w:t>
            </w:r>
            <w:r w:rsidRPr="00FA1C6E">
              <w:rPr>
                <w:rFonts w:eastAsia="Times New Roman" w:cs="Times New Roman"/>
                <w:spacing w:val="6"/>
                <w:szCs w:val="24"/>
                <w:lang w:eastAsia="vi-VN"/>
              </w:rPr>
              <w:br/>
              <w:t>- Cơ quan Trung ương của các đoàn thể;</w:t>
            </w:r>
            <w:r w:rsidRPr="00FA1C6E">
              <w:rPr>
                <w:rFonts w:eastAsia="Times New Roman" w:cs="Times New Roman"/>
                <w:spacing w:val="6"/>
                <w:szCs w:val="24"/>
                <w:lang w:eastAsia="vi-VN"/>
              </w:rPr>
              <w:br/>
              <w:t>- VPCP: BTCN, các PCN, Trợ lý TTCP, Cổng TTĐT, các Vụ, Cục, đơn vị trực thuộc, Công báo;</w:t>
            </w:r>
            <w:r w:rsidRPr="00FA1C6E">
              <w:rPr>
                <w:rFonts w:eastAsia="Times New Roman" w:cs="Times New Roman"/>
                <w:spacing w:val="6"/>
                <w:szCs w:val="24"/>
                <w:lang w:eastAsia="vi-VN"/>
              </w:rPr>
              <w:br/>
              <w:t>- Lưu: Văn thư, KGVX (3b).</w:t>
            </w:r>
          </w:p>
        </w:tc>
        <w:tc>
          <w:tcPr>
            <w:tcW w:w="5040" w:type="dxa"/>
            <w:tcMar>
              <w:top w:w="0" w:type="dxa"/>
              <w:left w:w="108" w:type="dxa"/>
              <w:bottom w:w="0" w:type="dxa"/>
              <w:right w:w="108" w:type="dxa"/>
            </w:tcMar>
            <w:hideMark/>
          </w:tcPr>
          <w:p w:rsidR="00FA1C6E" w:rsidRPr="00FA1C6E" w:rsidRDefault="00FA1C6E" w:rsidP="00FA1C6E">
            <w:pPr>
              <w:spacing w:after="0" w:line="240" w:lineRule="auto"/>
              <w:jc w:val="center"/>
              <w:rPr>
                <w:rFonts w:eastAsia="Times New Roman" w:cs="Times New Roman"/>
                <w:szCs w:val="24"/>
                <w:lang w:eastAsia="vi-VN"/>
              </w:rPr>
            </w:pPr>
            <w:r w:rsidRPr="00FA1C6E">
              <w:rPr>
                <w:rFonts w:eastAsia="Times New Roman" w:cs="Times New Roman"/>
                <w:b/>
                <w:bCs/>
                <w:szCs w:val="24"/>
                <w:lang w:eastAsia="vi-VN"/>
              </w:rPr>
              <w:t>TM. CHÍNH PHỦ</w:t>
            </w:r>
            <w:r w:rsidRPr="00FA1C6E">
              <w:rPr>
                <w:rFonts w:eastAsia="Times New Roman" w:cs="Times New Roman"/>
                <w:b/>
                <w:bCs/>
                <w:szCs w:val="24"/>
                <w:lang w:eastAsia="vi-VN"/>
              </w:rPr>
              <w:br/>
              <w:t>THỦ TƯỚNG</w:t>
            </w:r>
            <w:r w:rsidRPr="00FA1C6E">
              <w:rPr>
                <w:rFonts w:eastAsia="Times New Roman" w:cs="Times New Roman"/>
                <w:b/>
                <w:bCs/>
                <w:szCs w:val="24"/>
                <w:lang w:eastAsia="vi-VN"/>
              </w:rPr>
              <w:br/>
            </w:r>
            <w:r w:rsidRPr="00FA1C6E">
              <w:rPr>
                <w:rFonts w:eastAsia="Times New Roman" w:cs="Times New Roman"/>
                <w:b/>
                <w:bCs/>
                <w:szCs w:val="24"/>
                <w:lang w:eastAsia="vi-VN"/>
              </w:rPr>
              <w:br/>
            </w:r>
            <w:r w:rsidRPr="00FA1C6E">
              <w:rPr>
                <w:rFonts w:eastAsia="Times New Roman" w:cs="Times New Roman"/>
                <w:b/>
                <w:bCs/>
                <w:szCs w:val="24"/>
                <w:lang w:eastAsia="vi-VN"/>
              </w:rPr>
              <w:br/>
            </w:r>
            <w:r w:rsidRPr="00FA1C6E">
              <w:rPr>
                <w:rFonts w:eastAsia="Times New Roman" w:cs="Times New Roman"/>
                <w:b/>
                <w:bCs/>
                <w:szCs w:val="24"/>
                <w:lang w:eastAsia="vi-VN"/>
              </w:rPr>
              <w:br/>
            </w:r>
            <w:r w:rsidRPr="00FA1C6E">
              <w:rPr>
                <w:rFonts w:eastAsia="Times New Roman" w:cs="Times New Roman"/>
                <w:b/>
                <w:bCs/>
                <w:szCs w:val="24"/>
                <w:lang w:eastAsia="vi-VN"/>
              </w:rPr>
              <w:br/>
              <w:t>Nguyễn Tấn Dũng</w:t>
            </w:r>
          </w:p>
        </w:tc>
      </w:tr>
    </w:tbl>
    <w:p w:rsidR="00FA1C6E" w:rsidRPr="00FA1C6E" w:rsidRDefault="00FA1C6E" w:rsidP="00FA1C6E">
      <w:pPr>
        <w:spacing w:after="0" w:line="240" w:lineRule="auto"/>
        <w:rPr>
          <w:rFonts w:eastAsia="Times New Roman" w:cs="Times New Roman"/>
          <w:szCs w:val="24"/>
          <w:lang w:eastAsia="vi-VN"/>
        </w:rPr>
      </w:pPr>
      <w:r w:rsidRPr="00FA1C6E">
        <w:rPr>
          <w:rFonts w:eastAsia="Times New Roman" w:cs="Times New Roman"/>
          <w:b/>
          <w:bCs/>
          <w:szCs w:val="24"/>
          <w:lang w:eastAsia="vi-VN"/>
        </w:rPr>
        <w:t> </w:t>
      </w:r>
    </w:p>
    <w:p w:rsidR="00FA1C6E" w:rsidRPr="00FA1C6E" w:rsidRDefault="00FA1C6E" w:rsidP="00FA1C6E">
      <w:pPr>
        <w:spacing w:after="0" w:line="240" w:lineRule="auto"/>
        <w:rPr>
          <w:rFonts w:eastAsia="Times New Roman" w:cs="Times New Roman"/>
          <w:szCs w:val="24"/>
          <w:lang w:eastAsia="vi-VN"/>
        </w:rPr>
      </w:pPr>
    </w:p>
    <w:p w:rsidR="007A2366" w:rsidRPr="00FA1C6E" w:rsidRDefault="007A2366" w:rsidP="00FA1C6E">
      <w:bookmarkStart w:id="2" w:name="_GoBack"/>
      <w:bookmarkEnd w:id="2"/>
    </w:p>
    <w:sectPr w:rsidR="007A2366" w:rsidRPr="00FA1C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87812"/>
    <w:rsid w:val="00192478"/>
    <w:rsid w:val="001B277A"/>
    <w:rsid w:val="00256819"/>
    <w:rsid w:val="00267CD3"/>
    <w:rsid w:val="004915FE"/>
    <w:rsid w:val="004B40D8"/>
    <w:rsid w:val="00562F91"/>
    <w:rsid w:val="00621FF7"/>
    <w:rsid w:val="0063176A"/>
    <w:rsid w:val="00642BEC"/>
    <w:rsid w:val="006A3EA9"/>
    <w:rsid w:val="006D20E4"/>
    <w:rsid w:val="00744E38"/>
    <w:rsid w:val="00745BCB"/>
    <w:rsid w:val="00764985"/>
    <w:rsid w:val="007A2366"/>
    <w:rsid w:val="0081192D"/>
    <w:rsid w:val="00866FBF"/>
    <w:rsid w:val="009E6128"/>
    <w:rsid w:val="00A9727C"/>
    <w:rsid w:val="00C244BB"/>
    <w:rsid w:val="00C86E02"/>
    <w:rsid w:val="00C932F4"/>
    <w:rsid w:val="00D9704F"/>
    <w:rsid w:val="00DD1F63"/>
    <w:rsid w:val="00DD485C"/>
    <w:rsid w:val="00E52370"/>
    <w:rsid w:val="00EB0C73"/>
    <w:rsid w:val="00EC5F0E"/>
    <w:rsid w:val="00F1132A"/>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uiPriority w:val="99"/>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uiPriority w:val="99"/>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uiPriority w:val="99"/>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11046</Words>
  <Characters>62964</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2017-11-19T00:34:00Z</dcterms:created>
  <dcterms:modified xsi:type="dcterms:W3CDTF">2017-11-19T00:34:00Z</dcterms:modified>
</cp:coreProperties>
</file>